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E59" w:rsidRPr="00852D49" w:rsidRDefault="00346E59" w:rsidP="00346E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49">
        <w:rPr>
          <w:rFonts w:ascii="Times New Roman" w:eastAsia="Times New Roman" w:hAnsi="Times New Roman" w:cs="Times New Roman"/>
          <w:sz w:val="28"/>
          <w:szCs w:val="28"/>
        </w:rPr>
        <w:t>Раздел 3. Организация оказания медицинской помощи по профилям «Акушерство и гинекология» и «Неонатология»</w:t>
      </w:r>
    </w:p>
    <w:p w:rsidR="00346E59" w:rsidRPr="00852D49" w:rsidRDefault="00346E59" w:rsidP="00346E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D00" w:rsidRPr="00F0040A" w:rsidRDefault="00D12D00" w:rsidP="00AF75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AF75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51D" w:rsidRPr="003A1AB9">
        <w:rPr>
          <w:rFonts w:ascii="Times New Roman" w:eastAsia="Times New Roman" w:hAnsi="Times New Roman" w:cs="Times New Roman"/>
          <w:sz w:val="28"/>
          <w:szCs w:val="28"/>
        </w:rPr>
        <w:t>11 «Разработка отчета «Отчет о проведении диспансерного наблюдения по ВИЧ»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B45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3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AF751D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4363FA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55E6D" w:rsidRPr="00D12D00" w:rsidRDefault="00B836C0" w:rsidP="00E55E6D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4363FA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4363FA">
        <w:rPr>
          <w:rFonts w:ascii="Times New Roman" w:eastAsia="Times New Roman" w:hAnsi="Times New Roman" w:cs="Times New Roman"/>
          <w:sz w:val="24"/>
          <w:szCs w:val="24"/>
        </w:rPr>
        <w:t xml:space="preserve"> Контракт №  017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/23 от 27.</w:t>
      </w:r>
      <w:r w:rsidR="00B835E1" w:rsidRPr="004363F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4363F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81A09" w:rsidRPr="004363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0F43" w:rsidRPr="004363FA">
        <w:rPr>
          <w:rFonts w:ascii="Times New Roman" w:eastAsia="Times New Roman" w:hAnsi="Times New Roman" w:cs="Times New Roman"/>
          <w:sz w:val="24"/>
          <w:szCs w:val="24"/>
        </w:rPr>
        <w:t>.2.2 Мероприятие «Разработка функционала Системы и проведение испытаний»</w:t>
      </w:r>
      <w:r w:rsidRPr="004363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465F" w:rsidRPr="004363FA">
        <w:rPr>
          <w:rFonts w:ascii="Times New Roman" w:eastAsia="Times New Roman" w:hAnsi="Times New Roman" w:cs="Times New Roman"/>
          <w:sz w:val="24"/>
          <w:szCs w:val="24"/>
        </w:rPr>
        <w:t xml:space="preserve">Этап № 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65F" w:rsidRPr="004363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2D00" w:rsidRPr="004363FA">
        <w:rPr>
          <w:rFonts w:ascii="Times New Roman" w:eastAsia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E55E6D" w:rsidRPr="00E55E6D">
        <w:rPr>
          <w:rFonts w:ascii="Times New Roman" w:hAnsi="Times New Roman" w:cs="Times New Roman"/>
          <w:sz w:val="24"/>
          <w:szCs w:val="24"/>
        </w:rPr>
        <w:t xml:space="preserve"> </w:t>
      </w:r>
      <w:r w:rsidR="00E55E6D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E55E6D">
        <w:rPr>
          <w:rFonts w:ascii="Times New Roman" w:hAnsi="Times New Roman" w:cs="Times New Roman"/>
          <w:sz w:val="24"/>
          <w:szCs w:val="24"/>
        </w:rPr>
        <w:t>МИС-Р-11</w:t>
      </w:r>
      <w:r w:rsidR="00E55E6D">
        <w:rPr>
          <w:rFonts w:ascii="Times New Roman" w:hAnsi="Times New Roman" w:cs="Times New Roman"/>
          <w:sz w:val="24"/>
          <w:szCs w:val="24"/>
        </w:rPr>
        <w:t>67</w:t>
      </w:r>
      <w:r w:rsidR="00E55E6D">
        <w:rPr>
          <w:rFonts w:ascii="Times New Roman" w:hAnsi="Times New Roman" w:cs="Times New Roman"/>
          <w:sz w:val="24"/>
          <w:szCs w:val="24"/>
        </w:rPr>
        <w:t>.</w:t>
      </w:r>
    </w:p>
    <w:p w:rsidR="00B836C0" w:rsidRPr="0005077F" w:rsidRDefault="00EA465F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2" w:name="_Toc98836830"/>
      <w:bookmarkStart w:id="3" w:name="_GoBack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 w:rsidRPr="00050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05077F">
      <w:pPr>
        <w:pStyle w:val="12"/>
        <w:spacing w:before="120"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5077F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4" w:name="_3zck877cjeog" w:colFirst="0" w:colLast="0"/>
      <w:bookmarkStart w:id="5" w:name="_Toc98836831"/>
      <w:bookmarkEnd w:id="4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4363FA" w:rsidRPr="009E61E8" w:rsidRDefault="004363FA" w:rsidP="004363FA">
      <w:pPr>
        <w:pStyle w:val="12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E8">
        <w:rPr>
          <w:rFonts w:ascii="Times New Roman" w:eastAsia="Times New Roman" w:hAnsi="Times New Roman" w:cs="Times New Roman"/>
          <w:sz w:val="24"/>
          <w:szCs w:val="24"/>
        </w:rPr>
        <w:t>Пользователю необходимо зайти в периферийную базу под правами «</w:t>
      </w:r>
      <w:r w:rsidR="00DF6909" w:rsidRPr="00DF6909">
        <w:rPr>
          <w:rFonts w:ascii="Times New Roman" w:eastAsia="Times New Roman" w:hAnsi="Times New Roman" w:cs="Times New Roman"/>
          <w:sz w:val="24"/>
          <w:szCs w:val="24"/>
        </w:rPr>
        <w:t>Статистик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», перейти в подсистему «</w:t>
      </w:r>
      <w:r w:rsidR="00DF6909">
        <w:rPr>
          <w:rFonts w:ascii="Times New Roman" w:eastAsia="Times New Roman" w:hAnsi="Times New Roman" w:cs="Times New Roman"/>
          <w:sz w:val="24"/>
          <w:szCs w:val="24"/>
        </w:rPr>
        <w:t>Статистика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» - «</w:t>
      </w:r>
      <w:r w:rsidR="00DF6909">
        <w:rPr>
          <w:rFonts w:ascii="Times New Roman" w:eastAsia="Times New Roman" w:hAnsi="Times New Roman" w:cs="Times New Roman"/>
          <w:sz w:val="24"/>
          <w:szCs w:val="24"/>
        </w:rPr>
        <w:t>Дополнительные отчеты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» (рис.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63FA" w:rsidRPr="009E61E8" w:rsidRDefault="00DF6909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5704502" cy="1649393"/>
            <wp:effectExtent l="19050" t="19050" r="10498" b="270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64" cy="16516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E8">
        <w:rPr>
          <w:rFonts w:ascii="Times New Roman" w:hAnsi="Times New Roman"/>
          <w:b w:val="0"/>
          <w:bCs/>
          <w:noProof/>
        </w:rPr>
        <w:t xml:space="preserve"> </w:t>
      </w:r>
    </w:p>
    <w:p w:rsidR="004363FA" w:rsidRPr="009E61E8" w:rsidRDefault="004363FA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1</w:t>
      </w:r>
      <w:r w:rsidRPr="009E61E8">
        <w:rPr>
          <w:rFonts w:ascii="Times New Roman" w:hAnsi="Times New Roman"/>
          <w:b w:val="0"/>
          <w:iCs/>
        </w:rPr>
        <w:t xml:space="preserve"> – Переход по ссылке </w:t>
      </w:r>
      <w:r w:rsidR="00DF6909">
        <w:rPr>
          <w:rFonts w:ascii="Times New Roman" w:hAnsi="Times New Roman"/>
          <w:b w:val="0"/>
          <w:iCs/>
        </w:rPr>
        <w:t xml:space="preserve">на форму </w:t>
      </w:r>
      <w:r w:rsidRPr="009E61E8">
        <w:rPr>
          <w:rFonts w:ascii="Times New Roman" w:hAnsi="Times New Roman"/>
          <w:b w:val="0"/>
          <w:iCs/>
        </w:rPr>
        <w:t>«</w:t>
      </w:r>
      <w:r w:rsidR="00DF6909">
        <w:rPr>
          <w:rFonts w:ascii="Times New Roman" w:hAnsi="Times New Roman"/>
          <w:b w:val="0"/>
          <w:iCs/>
        </w:rPr>
        <w:t>Дополнительные отчеты»</w:t>
      </w:r>
    </w:p>
    <w:p w:rsidR="004363FA" w:rsidRPr="009E61E8" w:rsidRDefault="004363FA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В списке </w:t>
      </w:r>
      <w:r w:rsidR="00DF6909">
        <w:rPr>
          <w:rFonts w:ascii="Times New Roman" w:eastAsia="Times New Roman" w:hAnsi="Times New Roman" w:cs="Times New Roman"/>
          <w:sz w:val="24"/>
          <w:szCs w:val="24"/>
        </w:rPr>
        <w:t>дополнительных отчетов выбрать «</w:t>
      </w:r>
      <w:r w:rsidR="00DF6909" w:rsidRPr="00DF6909">
        <w:rPr>
          <w:rFonts w:ascii="Times New Roman" w:eastAsia="Times New Roman" w:hAnsi="Times New Roman" w:cs="Times New Roman"/>
          <w:sz w:val="24"/>
          <w:szCs w:val="24"/>
        </w:rPr>
        <w:t>Отчет о проведении диспансерного наблюдения по ВИЧ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F6909">
        <w:rPr>
          <w:rFonts w:ascii="Times New Roman" w:eastAsia="Times New Roman" w:hAnsi="Times New Roman" w:cs="Times New Roman"/>
          <w:sz w:val="24"/>
          <w:szCs w:val="24"/>
        </w:rPr>
        <w:t xml:space="preserve">и нажать на кнопку «Выполнить» 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63FA" w:rsidRPr="009E61E8" w:rsidRDefault="00DF6909" w:rsidP="004363FA">
      <w:pPr>
        <w:pStyle w:val="afb"/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4979876" cy="2563792"/>
            <wp:effectExtent l="19050" t="19050" r="11224" b="27008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42" cy="25637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/>
          <w:noProof/>
        </w:rPr>
        <w:t xml:space="preserve"> </w:t>
      </w:r>
    </w:p>
    <w:p w:rsidR="004363FA" w:rsidRPr="009E61E8" w:rsidRDefault="004363FA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2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DF6909">
        <w:rPr>
          <w:rFonts w:ascii="Times New Roman" w:hAnsi="Times New Roman"/>
          <w:b w:val="0"/>
          <w:iCs/>
        </w:rPr>
        <w:t xml:space="preserve">Переход к форме отчета </w:t>
      </w:r>
      <w:r w:rsidRPr="009E61E8">
        <w:rPr>
          <w:rFonts w:ascii="Times New Roman" w:hAnsi="Times New Roman"/>
          <w:b w:val="0"/>
          <w:iCs/>
        </w:rPr>
        <w:t>«</w:t>
      </w:r>
      <w:r w:rsidR="00DF6909" w:rsidRPr="00DF6909">
        <w:rPr>
          <w:rFonts w:ascii="Times New Roman" w:hAnsi="Times New Roman"/>
          <w:b w:val="0"/>
          <w:iCs/>
        </w:rPr>
        <w:t>Отчет о проведении диспансерного наблюдения по ВИЧ</w:t>
      </w:r>
      <w:r w:rsidRPr="009E61E8">
        <w:rPr>
          <w:rFonts w:ascii="Times New Roman" w:hAnsi="Times New Roman"/>
          <w:b w:val="0"/>
          <w:iCs/>
        </w:rPr>
        <w:t>»</w:t>
      </w:r>
    </w:p>
    <w:p w:rsidR="004363FA" w:rsidRDefault="00C02785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открывшейся форме </w:t>
      </w:r>
      <w:r w:rsidR="00DF6909">
        <w:rPr>
          <w:rFonts w:ascii="Times New Roman" w:eastAsia="Times New Roman" w:hAnsi="Times New Roman" w:cs="Times New Roman"/>
          <w:sz w:val="24"/>
          <w:szCs w:val="24"/>
        </w:rPr>
        <w:t xml:space="preserve">указать период формирования отчета: выбрать год </w:t>
      </w:r>
      <w:r w:rsidR="00913039">
        <w:rPr>
          <w:rFonts w:ascii="Times New Roman" w:eastAsia="Times New Roman" w:hAnsi="Times New Roman" w:cs="Times New Roman"/>
          <w:sz w:val="24"/>
          <w:szCs w:val="24"/>
        </w:rPr>
        <w:t xml:space="preserve">и указать период, выбрав из списка месяц начала и окончания </w:t>
      </w:r>
      <w:r>
        <w:rPr>
          <w:rFonts w:ascii="Times New Roman" w:eastAsia="Times New Roman" w:hAnsi="Times New Roman" w:cs="Times New Roman"/>
          <w:sz w:val="24"/>
          <w:szCs w:val="24"/>
        </w:rPr>
        <w:t>(рис. 3).</w:t>
      </w:r>
    </w:p>
    <w:p w:rsidR="00C02785" w:rsidRDefault="00DF6909" w:rsidP="00C02785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632" cy="2482850"/>
            <wp:effectExtent l="19050" t="19050" r="18418" b="1270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2" cy="2482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5" w:rsidRPr="009E61E8" w:rsidRDefault="00C02785" w:rsidP="00C02785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3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913039">
        <w:rPr>
          <w:rFonts w:ascii="Times New Roman" w:hAnsi="Times New Roman"/>
          <w:b w:val="0"/>
          <w:iCs/>
        </w:rPr>
        <w:t>Период формирования отчета</w:t>
      </w:r>
    </w:p>
    <w:p w:rsidR="00C02785" w:rsidRDefault="00913039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поле «Возраст» по умолчанию отображается значение «Все». В случае необходимости формирования отчета только по детям (до 18 лет) либо только по взрослым (старше 18 лет), тогда необходимо в фильтре «Возраст» указать нужное значение (рис. 4). При формировании отчета на конец каждого месяца проверяется возраст пациента. </w:t>
      </w:r>
      <w:r w:rsidRPr="00913039">
        <w:rPr>
          <w:rFonts w:ascii="Times New Roman" w:eastAsia="Times New Roman" w:hAnsi="Times New Roman" w:cs="Times New Roman"/>
          <w:sz w:val="24"/>
          <w:szCs w:val="24"/>
        </w:rPr>
        <w:t xml:space="preserve">Если, например, пациенту Иванову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И.И. </w:t>
      </w:r>
      <w:r w:rsidRPr="00913039">
        <w:rPr>
          <w:rFonts w:ascii="Times New Roman" w:eastAsia="Times New Roman" w:hAnsi="Times New Roman" w:cs="Times New Roman"/>
          <w:sz w:val="24"/>
          <w:szCs w:val="24"/>
        </w:rPr>
        <w:t>исполняется 18 лет 03.03.2023</w:t>
      </w:r>
      <w:r w:rsidR="00CB459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13039">
        <w:rPr>
          <w:rFonts w:ascii="Times New Roman" w:eastAsia="Times New Roman" w:hAnsi="Times New Roman" w:cs="Times New Roman"/>
          <w:sz w:val="24"/>
          <w:szCs w:val="24"/>
        </w:rPr>
        <w:t xml:space="preserve">, тогда при формировании отчета за 1 квартал 2023г.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</w:t>
      </w:r>
      <w:r w:rsidRPr="00913039">
        <w:rPr>
          <w:rFonts w:ascii="Times New Roman" w:eastAsia="Times New Roman" w:hAnsi="Times New Roman" w:cs="Times New Roman"/>
          <w:sz w:val="24"/>
          <w:szCs w:val="24"/>
        </w:rPr>
        <w:t xml:space="preserve">на конец января и февраля данный пациент будет отображаться при отборе фильтра </w:t>
      </w:r>
      <w:r>
        <w:rPr>
          <w:rFonts w:ascii="Times New Roman" w:eastAsia="Times New Roman" w:hAnsi="Times New Roman" w:cs="Times New Roman"/>
          <w:sz w:val="24"/>
          <w:szCs w:val="24"/>
        </w:rPr>
        <w:t>«Возраст» в возрастной категории «Дети (до 18) лет»</w:t>
      </w:r>
      <w:r w:rsidRPr="00913039">
        <w:rPr>
          <w:rFonts w:ascii="Times New Roman" w:eastAsia="Times New Roman" w:hAnsi="Times New Roman" w:cs="Times New Roman"/>
          <w:sz w:val="24"/>
          <w:szCs w:val="24"/>
        </w:rPr>
        <w:t>. На конец марта данный пациент будет уже отобр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ажаться в возрастной категории «Взрослые (старше 18 лет)», так как </w:t>
      </w:r>
      <w:r w:rsidR="00CB459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дату 31.03.2023 г. </w:t>
      </w:r>
      <w:r>
        <w:rPr>
          <w:rFonts w:ascii="Times New Roman" w:eastAsia="Times New Roman" w:hAnsi="Times New Roman" w:cs="Times New Roman"/>
          <w:sz w:val="24"/>
          <w:szCs w:val="24"/>
        </w:rPr>
        <w:t>данному пациенту уже исполнилось 18 лет.</w:t>
      </w:r>
    </w:p>
    <w:p w:rsidR="00C02785" w:rsidRDefault="00913039" w:rsidP="00C02785">
      <w:pPr>
        <w:pStyle w:val="1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2992" cy="2042931"/>
            <wp:effectExtent l="19050" t="19050" r="25308" b="14469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76" cy="20437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02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785" w:rsidRPr="009E61E8" w:rsidRDefault="00C02785" w:rsidP="00C02785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4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CB459C">
        <w:rPr>
          <w:rFonts w:ascii="Times New Roman" w:hAnsi="Times New Roman"/>
          <w:b w:val="0"/>
          <w:iCs/>
        </w:rPr>
        <w:t>Фильтр «Возраст»</w:t>
      </w:r>
    </w:p>
    <w:p w:rsidR="004363FA" w:rsidRPr="009E61E8" w:rsidRDefault="00CB459C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отчета с</w:t>
      </w:r>
      <w:r w:rsidR="00285AA1">
        <w:rPr>
          <w:rFonts w:ascii="Times New Roman" w:eastAsia="Times New Roman" w:hAnsi="Times New Roman" w:cs="Times New Roman"/>
          <w:sz w:val="24"/>
          <w:szCs w:val="24"/>
        </w:rPr>
        <w:t xml:space="preserve">ледует 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нажать на кнопку «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 xml:space="preserve">» (рис. </w:t>
      </w:r>
      <w:r w:rsidR="00285A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63FA" w:rsidRPr="009E61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59C" w:rsidRDefault="00CB459C" w:rsidP="004363FA">
      <w:pPr>
        <w:pStyle w:val="afb"/>
        <w:spacing w:line="360" w:lineRule="auto"/>
        <w:jc w:val="center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 w:val="0"/>
          <w:bCs/>
          <w:noProof/>
        </w:rPr>
        <w:lastRenderedPageBreak/>
        <w:drawing>
          <wp:inline distT="0" distB="0" distL="0" distR="0">
            <wp:extent cx="6669920" cy="1315730"/>
            <wp:effectExtent l="19050" t="19050" r="16630" b="1777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846" cy="13172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FA" w:rsidRPr="009E61E8" w:rsidRDefault="00CB459C" w:rsidP="004363FA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Cs/>
          <w:noProof/>
        </w:rPr>
        <w:t xml:space="preserve"> </w:t>
      </w:r>
      <w:r w:rsidR="004363FA" w:rsidRPr="009E61E8">
        <w:rPr>
          <w:rFonts w:ascii="Times New Roman" w:hAnsi="Times New Roman"/>
          <w:b w:val="0"/>
          <w:iCs/>
        </w:rPr>
        <w:t xml:space="preserve">Рисунок </w:t>
      </w:r>
      <w:r w:rsidR="00285AA1">
        <w:rPr>
          <w:rFonts w:ascii="Times New Roman" w:hAnsi="Times New Roman"/>
          <w:b w:val="0"/>
          <w:iCs/>
        </w:rPr>
        <w:t>5</w:t>
      </w:r>
      <w:r w:rsidR="004363FA" w:rsidRPr="009E61E8">
        <w:rPr>
          <w:rFonts w:ascii="Times New Roman" w:hAnsi="Times New Roman"/>
          <w:b w:val="0"/>
          <w:iCs/>
        </w:rPr>
        <w:t xml:space="preserve"> – </w:t>
      </w:r>
      <w:r>
        <w:rPr>
          <w:rFonts w:ascii="Times New Roman" w:hAnsi="Times New Roman"/>
          <w:b w:val="0"/>
          <w:iCs/>
        </w:rPr>
        <w:t>Формирование отчета</w:t>
      </w:r>
    </w:p>
    <w:p w:rsidR="004363FA" w:rsidRPr="0005077F" w:rsidRDefault="004363FA" w:rsidP="0005077F">
      <w:pPr>
        <w:pStyle w:val="12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F">
        <w:rPr>
          <w:rFonts w:ascii="Times New Roman" w:eastAsia="Times New Roman" w:hAnsi="Times New Roman" w:cs="Times New Roman"/>
          <w:sz w:val="24"/>
          <w:szCs w:val="24"/>
        </w:rPr>
        <w:tab/>
      </w:r>
      <w:r w:rsidR="00285AA1" w:rsidRPr="000507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B459C">
        <w:rPr>
          <w:rFonts w:ascii="Times New Roman" w:eastAsia="Times New Roman" w:hAnsi="Times New Roman" w:cs="Times New Roman"/>
          <w:sz w:val="24"/>
          <w:szCs w:val="24"/>
        </w:rPr>
        <w:t xml:space="preserve">еред печатью можно предварительно просмотреть отчет по кнопке «Предварительный просмотр» и распечатать по кнопке «Печать» </w:t>
      </w:r>
      <w:r w:rsidRPr="0005077F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 w:rsidR="00285AA1" w:rsidRPr="000507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07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5AA1" w:rsidRPr="00285AA1" w:rsidRDefault="00CB459C" w:rsidP="00285AA1">
      <w:pPr>
        <w:pStyle w:val="afb"/>
        <w:spacing w:line="360" w:lineRule="auto"/>
        <w:jc w:val="center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 w:val="0"/>
          <w:bCs/>
          <w:noProof/>
        </w:rPr>
        <w:drawing>
          <wp:inline distT="0" distB="0" distL="0" distR="0">
            <wp:extent cx="5018303" cy="1493134"/>
            <wp:effectExtent l="19050" t="19050" r="10897" b="11816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72" cy="14940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AA1">
        <w:rPr>
          <w:rFonts w:ascii="Times New Roman" w:hAnsi="Times New Roman"/>
          <w:bCs/>
          <w:noProof/>
        </w:rPr>
        <w:t xml:space="preserve"> </w:t>
      </w:r>
    </w:p>
    <w:p w:rsidR="00285AA1" w:rsidRPr="009E61E8" w:rsidRDefault="00285AA1" w:rsidP="00285AA1">
      <w:pPr>
        <w:pStyle w:val="afb"/>
        <w:spacing w:line="360" w:lineRule="auto"/>
        <w:jc w:val="center"/>
        <w:rPr>
          <w:rFonts w:ascii="Times New Roman" w:hAnsi="Times New Roman"/>
          <w:b w:val="0"/>
          <w:bCs/>
          <w:iCs/>
        </w:rPr>
      </w:pPr>
      <w:r w:rsidRPr="009E61E8">
        <w:rPr>
          <w:rFonts w:ascii="Times New Roman" w:hAnsi="Times New Roman"/>
          <w:b w:val="0"/>
          <w:iCs/>
        </w:rPr>
        <w:t xml:space="preserve">Рисунок </w:t>
      </w:r>
      <w:r>
        <w:rPr>
          <w:rFonts w:ascii="Times New Roman" w:hAnsi="Times New Roman"/>
          <w:b w:val="0"/>
          <w:iCs/>
        </w:rPr>
        <w:t>6</w:t>
      </w:r>
      <w:r w:rsidRPr="009E61E8">
        <w:rPr>
          <w:rFonts w:ascii="Times New Roman" w:hAnsi="Times New Roman"/>
          <w:b w:val="0"/>
          <w:iCs/>
        </w:rPr>
        <w:t xml:space="preserve"> – </w:t>
      </w:r>
      <w:r w:rsidR="00CB459C">
        <w:rPr>
          <w:rFonts w:ascii="Times New Roman" w:hAnsi="Times New Roman"/>
          <w:b w:val="0"/>
          <w:iCs/>
        </w:rPr>
        <w:t>Предварительный просмотр и п</w:t>
      </w:r>
      <w:r>
        <w:rPr>
          <w:rFonts w:ascii="Times New Roman" w:hAnsi="Times New Roman"/>
          <w:b w:val="0"/>
          <w:iCs/>
        </w:rPr>
        <w:t xml:space="preserve">ечать </w:t>
      </w:r>
      <w:r w:rsidR="00CB459C">
        <w:rPr>
          <w:rFonts w:ascii="Times New Roman" w:hAnsi="Times New Roman"/>
          <w:b w:val="0"/>
          <w:iCs/>
        </w:rPr>
        <w:t>отчета</w:t>
      </w:r>
    </w:p>
    <w:p w:rsidR="004363FA" w:rsidRPr="00DF38AB" w:rsidRDefault="004363FA" w:rsidP="00DF38AB">
      <w:pPr>
        <w:pStyle w:val="afb"/>
        <w:spacing w:line="360" w:lineRule="auto"/>
        <w:jc w:val="center"/>
        <w:rPr>
          <w:rFonts w:ascii="Times New Roman" w:hAnsi="Times New Roman"/>
          <w:b w:val="0"/>
          <w:iCs/>
        </w:rPr>
      </w:pPr>
    </w:p>
    <w:sectPr w:rsidR="004363FA" w:rsidRPr="00DF38AB" w:rsidSect="00EA465F">
      <w:footerReference w:type="default" r:id="rId14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9F" w:rsidRDefault="0063319F" w:rsidP="00923678">
      <w:pPr>
        <w:spacing w:line="240" w:lineRule="auto"/>
      </w:pPr>
      <w:r>
        <w:separator/>
      </w:r>
    </w:p>
  </w:endnote>
  <w:endnote w:type="continuationSeparator" w:id="0">
    <w:p w:rsidR="0063319F" w:rsidRDefault="0063319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5077F" w:rsidRPr="00923678" w:rsidRDefault="00BD110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077F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6E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077F" w:rsidRDefault="000507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9F" w:rsidRDefault="0063319F" w:rsidP="00923678">
      <w:pPr>
        <w:spacing w:line="240" w:lineRule="auto"/>
      </w:pPr>
      <w:r>
        <w:separator/>
      </w:r>
    </w:p>
  </w:footnote>
  <w:footnote w:type="continuationSeparator" w:id="0">
    <w:p w:rsidR="0063319F" w:rsidRDefault="0063319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307"/>
    <w:multiLevelType w:val="multilevel"/>
    <w:tmpl w:val="C9BCE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E9499E"/>
    <w:multiLevelType w:val="hybridMultilevel"/>
    <w:tmpl w:val="FD5C5168"/>
    <w:lvl w:ilvl="0" w:tplc="A334A14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55724"/>
    <w:multiLevelType w:val="hybridMultilevel"/>
    <w:tmpl w:val="FD5C5168"/>
    <w:lvl w:ilvl="0" w:tplc="A334A14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C1D34"/>
    <w:multiLevelType w:val="multilevel"/>
    <w:tmpl w:val="296203B6"/>
    <w:numStyleLink w:val="1"/>
  </w:abstractNum>
  <w:abstractNum w:abstractNumId="33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500E08"/>
    <w:multiLevelType w:val="multilevel"/>
    <w:tmpl w:val="C9BCE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26"/>
  </w:num>
  <w:num w:numId="5">
    <w:abstractNumId w:val="37"/>
  </w:num>
  <w:num w:numId="6">
    <w:abstractNumId w:val="29"/>
  </w:num>
  <w:num w:numId="7">
    <w:abstractNumId w:val="13"/>
  </w:num>
  <w:num w:numId="8">
    <w:abstractNumId w:val="18"/>
  </w:num>
  <w:num w:numId="9">
    <w:abstractNumId w:val="1"/>
  </w:num>
  <w:num w:numId="10">
    <w:abstractNumId w:val="27"/>
  </w:num>
  <w:num w:numId="11">
    <w:abstractNumId w:val="38"/>
  </w:num>
  <w:num w:numId="12">
    <w:abstractNumId w:val="35"/>
  </w:num>
  <w:num w:numId="13">
    <w:abstractNumId w:val="24"/>
  </w:num>
  <w:num w:numId="14">
    <w:abstractNumId w:val="22"/>
  </w:num>
  <w:num w:numId="15">
    <w:abstractNumId w:val="3"/>
  </w:num>
  <w:num w:numId="16">
    <w:abstractNumId w:val="40"/>
  </w:num>
  <w:num w:numId="17">
    <w:abstractNumId w:val="33"/>
  </w:num>
  <w:num w:numId="18">
    <w:abstractNumId w:val="34"/>
  </w:num>
  <w:num w:numId="19">
    <w:abstractNumId w:val="16"/>
  </w:num>
  <w:num w:numId="20">
    <w:abstractNumId w:val="31"/>
  </w:num>
  <w:num w:numId="21">
    <w:abstractNumId w:val="10"/>
  </w:num>
  <w:num w:numId="22">
    <w:abstractNumId w:val="15"/>
  </w:num>
  <w:num w:numId="23">
    <w:abstractNumId w:val="28"/>
  </w:num>
  <w:num w:numId="24">
    <w:abstractNumId w:val="6"/>
  </w:num>
  <w:num w:numId="25">
    <w:abstractNumId w:val="32"/>
  </w:num>
  <w:num w:numId="26">
    <w:abstractNumId w:val="11"/>
  </w:num>
  <w:num w:numId="27">
    <w:abstractNumId w:val="14"/>
  </w:num>
  <w:num w:numId="28">
    <w:abstractNumId w:val="21"/>
  </w:num>
  <w:num w:numId="29">
    <w:abstractNumId w:val="5"/>
  </w:num>
  <w:num w:numId="30">
    <w:abstractNumId w:val="12"/>
  </w:num>
  <w:num w:numId="31">
    <w:abstractNumId w:val="25"/>
  </w:num>
  <w:num w:numId="32">
    <w:abstractNumId w:val="2"/>
  </w:num>
  <w:num w:numId="33">
    <w:abstractNumId w:val="39"/>
  </w:num>
  <w:num w:numId="34">
    <w:abstractNumId w:val="20"/>
  </w:num>
  <w:num w:numId="35">
    <w:abstractNumId w:val="19"/>
  </w:num>
  <w:num w:numId="36">
    <w:abstractNumId w:val="29"/>
  </w:num>
  <w:num w:numId="37">
    <w:abstractNumId w:val="23"/>
  </w:num>
  <w:num w:numId="38">
    <w:abstractNumId w:val="29"/>
  </w:num>
  <w:num w:numId="39">
    <w:abstractNumId w:val="8"/>
  </w:num>
  <w:num w:numId="40">
    <w:abstractNumId w:val="29"/>
  </w:num>
  <w:num w:numId="41">
    <w:abstractNumId w:val="4"/>
  </w:num>
  <w:num w:numId="42">
    <w:abstractNumId w:val="7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5077F"/>
    <w:rsid w:val="00067512"/>
    <w:rsid w:val="000730D4"/>
    <w:rsid w:val="00083B2D"/>
    <w:rsid w:val="0009790A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5BE"/>
    <w:rsid w:val="00265D89"/>
    <w:rsid w:val="00275065"/>
    <w:rsid w:val="0027560A"/>
    <w:rsid w:val="00285669"/>
    <w:rsid w:val="00285AA1"/>
    <w:rsid w:val="00295160"/>
    <w:rsid w:val="002A250E"/>
    <w:rsid w:val="002A42B8"/>
    <w:rsid w:val="002A55EF"/>
    <w:rsid w:val="002C034D"/>
    <w:rsid w:val="002D6A5E"/>
    <w:rsid w:val="002F63FF"/>
    <w:rsid w:val="003044B0"/>
    <w:rsid w:val="00310F7A"/>
    <w:rsid w:val="00334A8A"/>
    <w:rsid w:val="003350AD"/>
    <w:rsid w:val="00341104"/>
    <w:rsid w:val="00342828"/>
    <w:rsid w:val="003432E2"/>
    <w:rsid w:val="00346E59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5209"/>
    <w:rsid w:val="004069AB"/>
    <w:rsid w:val="00411116"/>
    <w:rsid w:val="00430999"/>
    <w:rsid w:val="00432961"/>
    <w:rsid w:val="004333A1"/>
    <w:rsid w:val="004363FA"/>
    <w:rsid w:val="00472C89"/>
    <w:rsid w:val="0047565D"/>
    <w:rsid w:val="00480E38"/>
    <w:rsid w:val="00482424"/>
    <w:rsid w:val="004842F6"/>
    <w:rsid w:val="0049481C"/>
    <w:rsid w:val="004B65DB"/>
    <w:rsid w:val="004D61B8"/>
    <w:rsid w:val="004E0777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319F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13039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51D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BD110A"/>
    <w:rsid w:val="00BD575C"/>
    <w:rsid w:val="00C02785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B459C"/>
    <w:rsid w:val="00CD1DE0"/>
    <w:rsid w:val="00CD6433"/>
    <w:rsid w:val="00CE1F30"/>
    <w:rsid w:val="00CF0C59"/>
    <w:rsid w:val="00CF0C5E"/>
    <w:rsid w:val="00D0095A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7603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38AB"/>
    <w:rsid w:val="00DF4DB9"/>
    <w:rsid w:val="00DF6909"/>
    <w:rsid w:val="00E0589E"/>
    <w:rsid w:val="00E06303"/>
    <w:rsid w:val="00E12E7B"/>
    <w:rsid w:val="00E24FC3"/>
    <w:rsid w:val="00E312E2"/>
    <w:rsid w:val="00E3400A"/>
    <w:rsid w:val="00E344A3"/>
    <w:rsid w:val="00E5533A"/>
    <w:rsid w:val="00E55E6D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ECB"/>
  <w15:docId w15:val="{4C5C71A0-81A0-447D-8D11-91884BD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9C07-E1FF-4FD4-8A4A-EDC69E80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2023-07-04T12:35:00Z</dcterms:created>
  <dcterms:modified xsi:type="dcterms:W3CDTF">2023-08-22T11:36:00Z</dcterms:modified>
</cp:coreProperties>
</file>