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F8" w:rsidRPr="0083179A" w:rsidRDefault="0083179A" w:rsidP="0083179A">
      <w:pPr>
        <w:spacing w:after="240"/>
        <w:rPr>
          <w:rFonts w:ascii="Arial" w:hAnsi="Arial" w:cs="Arial"/>
          <w:b/>
          <w:sz w:val="32"/>
          <w:szCs w:val="32"/>
        </w:rPr>
      </w:pPr>
      <w:r w:rsidRPr="0083179A">
        <w:rPr>
          <w:rFonts w:ascii="Arial" w:hAnsi="Arial" w:cs="Arial"/>
          <w:b/>
          <w:sz w:val="32"/>
          <w:szCs w:val="32"/>
        </w:rPr>
        <w:t>Создание графика работы</w:t>
      </w:r>
      <w:bookmarkStart w:id="0" w:name="_GoBack"/>
      <w:bookmarkEnd w:id="0"/>
    </w:p>
    <w:p w:rsidR="00DF61F8" w:rsidRDefault="0083179A" w:rsidP="0083179A">
      <w:pPr>
        <w:pStyle w:val="ae"/>
      </w:pPr>
      <w:r>
        <w:t xml:space="preserve">Справочник «Графики работы» предназначен для ведения графиков работы, которые используются в организации.  Графики работы формируются на основе производственных календарей.  В графике работы содержится информация о рабочих днях и </w:t>
      </w:r>
      <w:r>
        <w:t>периодах работы.</w:t>
      </w:r>
    </w:p>
    <w:p w:rsidR="00DF61F8" w:rsidRDefault="0083179A" w:rsidP="0083179A">
      <w:pPr>
        <w:pStyle w:val="ae"/>
        <w:rPr>
          <w:lang w:eastAsia="ru-RU"/>
        </w:rPr>
      </w:pPr>
      <w:r>
        <w:rPr>
          <w:lang w:eastAsia="ru-RU"/>
        </w:rPr>
        <w:t>Создание нового графика работы производится в подсистеме «</w:t>
      </w:r>
      <w:r>
        <w:rPr>
          <w:bCs/>
          <w:iCs/>
          <w:lang w:eastAsia="ru-RU"/>
        </w:rPr>
        <w:t>Медицинская организация»</w:t>
      </w:r>
      <w:r>
        <w:rPr>
          <w:lang w:eastAsia="ru-RU"/>
        </w:rPr>
        <w:t xml:space="preserve"> далее «Графики работы»</w:t>
      </w:r>
      <w:r>
        <w:rPr>
          <w:b/>
          <w:i/>
          <w:lang w:eastAsia="ru-RU"/>
        </w:rPr>
        <w:t xml:space="preserve">. </w:t>
      </w:r>
    </w:p>
    <w:p w:rsidR="00DF61F8" w:rsidRDefault="0083179A" w:rsidP="0083179A">
      <w:pPr>
        <w:pStyle w:val="ac"/>
        <w:rPr>
          <w:rFonts w:cs="Times New Roman"/>
        </w:rPr>
      </w:pPr>
      <w:r w:rsidRPr="0083179A">
        <w:drawing>
          <wp:inline distT="0" distB="0" distL="0" distR="0">
            <wp:extent cx="5125515" cy="3667125"/>
            <wp:effectExtent l="19050" t="19050" r="18415" b="9525"/>
            <wp:docPr id="1" name="Рисунок 1" descr="C:\Users\tatm.TYUMBIT\Desktop\Новая папка (2)\Новая папка (4)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tatm.TYUMBIT\Desktop\Новая папка (2)\Новая папка (4)\Screenshot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726" cy="3681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61F8" w:rsidRDefault="0083179A" w:rsidP="0083179A">
      <w:pPr>
        <w:pStyle w:val="ae"/>
      </w:pPr>
      <w:r>
        <w:t>В результате откроется форма списка справочника «Графики работы».</w:t>
      </w:r>
      <w:r>
        <w:t xml:space="preserve"> С</w:t>
      </w:r>
      <w:r>
        <w:t>оздание нового графика работы производится по команде «Создать</w:t>
      </w:r>
      <w:r>
        <w:t xml:space="preserve">». </w:t>
      </w:r>
    </w:p>
    <w:p w:rsidR="00DF61F8" w:rsidRDefault="0083179A" w:rsidP="0083179A">
      <w:pPr>
        <w:pStyle w:val="ac"/>
        <w:rPr>
          <w:rFonts w:cs="Times New Roman"/>
        </w:rPr>
      </w:pPr>
      <w:r w:rsidRPr="0083179A">
        <w:drawing>
          <wp:inline distT="0" distB="0" distL="0" distR="0">
            <wp:extent cx="4076700" cy="2782484"/>
            <wp:effectExtent l="19050" t="19050" r="19050" b="18415"/>
            <wp:docPr id="2" name="Рисунок 2" descr="C:\Users\tatm.TYUMBIT\Desktop\Новая папка (2)\Новая папка (4)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tatm.TYUMBIT\Desktop\Новая папка (2)\Новая папка (4)\Screenshot_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795" cy="2803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61F8" w:rsidRDefault="0083179A" w:rsidP="0083179A">
      <w:pPr>
        <w:pStyle w:val="ae"/>
      </w:pPr>
      <w:r>
        <w:lastRenderedPageBreak/>
        <w:t>В открывшейся форме «График работы (создание)» необходимо заполнить все необходимы поля:</w:t>
      </w:r>
    </w:p>
    <w:p w:rsidR="00DF61F8" w:rsidRPr="0083179A" w:rsidRDefault="0083179A" w:rsidP="0083179A">
      <w:pPr>
        <w:pStyle w:val="a8"/>
        <w:numPr>
          <w:ilvl w:val="0"/>
          <w:numId w:val="1"/>
        </w:numPr>
        <w:spacing w:after="120" w:line="288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«Наименование» - заполняется ручным способом ввода текста.</w:t>
      </w:r>
    </w:p>
    <w:p w:rsidR="00DF61F8" w:rsidRPr="0083179A" w:rsidRDefault="0083179A" w:rsidP="0083179A">
      <w:pPr>
        <w:pStyle w:val="a8"/>
        <w:numPr>
          <w:ilvl w:val="0"/>
          <w:numId w:val="1"/>
        </w:numPr>
        <w:spacing w:after="120" w:line="288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«Производственный календарь» - при вводе указывается, на каком основании введен график работы.</w:t>
      </w:r>
    </w:p>
    <w:p w:rsidR="00DF61F8" w:rsidRPr="0083179A" w:rsidRDefault="0083179A" w:rsidP="0083179A">
      <w:pPr>
        <w:pStyle w:val="a8"/>
        <w:numPr>
          <w:ilvl w:val="0"/>
          <w:numId w:val="1"/>
        </w:numPr>
        <w:spacing w:after="120" w:line="288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«Спо</w:t>
      </w:r>
      <w:r w:rsidRPr="0083179A">
        <w:rPr>
          <w:rFonts w:ascii="Times New Roman" w:hAnsi="Times New Roman" w:cs="Times New Roman"/>
          <w:sz w:val="28"/>
          <w:szCs w:val="28"/>
        </w:rPr>
        <w:t>соб заполнения» - вид графика. В зависимости от способа заполнения графики могут быть двух видов:</w:t>
      </w:r>
    </w:p>
    <w:p w:rsidR="00DF61F8" w:rsidRPr="0083179A" w:rsidRDefault="0083179A" w:rsidP="0083179A">
      <w:pPr>
        <w:pStyle w:val="a8"/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По неделям (почасовые) - такой график жестко привязан к дням недели. Это самый простой график работы, наиболее часто встречающийся. К этому виду принадлежат г</w:t>
      </w:r>
      <w:r w:rsidRPr="0083179A">
        <w:rPr>
          <w:rFonts w:ascii="Times New Roman" w:hAnsi="Times New Roman" w:cs="Times New Roman"/>
          <w:sz w:val="28"/>
          <w:szCs w:val="28"/>
        </w:rPr>
        <w:t>рафики "40-часовая рабочая неделя" и другие. Различаются они только количеством отработанного времени или отработанных дней. Пятидневка, шестидневка, два рабочих дня в неделю - варианты этого графика работы.</w:t>
      </w:r>
    </w:p>
    <w:p w:rsidR="00DF61F8" w:rsidRPr="0083179A" w:rsidRDefault="0083179A" w:rsidP="0083179A">
      <w:pPr>
        <w:pStyle w:val="a8"/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По циклам произвольной длины. Такой график жестк</w:t>
      </w:r>
      <w:r w:rsidRPr="0083179A">
        <w:rPr>
          <w:rFonts w:ascii="Times New Roman" w:hAnsi="Times New Roman" w:cs="Times New Roman"/>
          <w:sz w:val="28"/>
          <w:szCs w:val="28"/>
        </w:rPr>
        <w:t>о привязан к числам месяца, т.к. в качестве начала цикла указывается определенная дата, от которой отсчитывается дни цикла. Дни недели на этот график не влияют, очень редко учитываются праздничные дни. Вариантами циклических графиков являются сменные графи</w:t>
      </w:r>
      <w:r w:rsidRPr="0083179A">
        <w:rPr>
          <w:rFonts w:ascii="Times New Roman" w:hAnsi="Times New Roman" w:cs="Times New Roman"/>
          <w:sz w:val="28"/>
          <w:szCs w:val="28"/>
        </w:rPr>
        <w:t>ки, а также графики со скользящими выходными: сутки через трое, два через два и прочие.</w:t>
      </w:r>
    </w:p>
    <w:p w:rsidR="00DF61F8" w:rsidRDefault="0083179A" w:rsidP="0083179A">
      <w:pPr>
        <w:pStyle w:val="ac"/>
        <w:rPr>
          <w:rFonts w:cs="Times New Roman"/>
        </w:rPr>
      </w:pPr>
      <w:r w:rsidRPr="0083179A">
        <w:drawing>
          <wp:inline distT="0" distB="0" distL="0" distR="0">
            <wp:extent cx="6212986" cy="4495800"/>
            <wp:effectExtent l="19050" t="19050" r="16510" b="19050"/>
            <wp:docPr id="3" name="Рисунок 3" descr="C:\Users\tatm.TYUMBIT\Desktop\Новая папка (2)\Новая папка (4)\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tatm.TYUMBIT\Desktop\Новая папка (2)\Новая папка (4)\Screenshot_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454" cy="45091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61F8" w:rsidRDefault="0083179A" w:rsidP="0083179A">
      <w:pPr>
        <w:pStyle w:val="aa"/>
      </w:pPr>
      <w:r>
        <w:lastRenderedPageBreak/>
        <w:t>Для каждого графика работы необходимо указать, какие дни являются в нем рабочими, для этого необходимо нажать</w:t>
      </w:r>
      <w:r>
        <w:t xml:space="preserve"> </w:t>
      </w:r>
      <w:r>
        <w:t xml:space="preserve">на гиперссылку «Заполнить расписание». </w:t>
      </w:r>
    </w:p>
    <w:p w:rsidR="00DF61F8" w:rsidRDefault="0083179A" w:rsidP="0083179A">
      <w:pPr>
        <w:pStyle w:val="ac"/>
        <w:rPr>
          <w:rFonts w:eastAsia="Times New Roman" w:cs="Times New Roman"/>
          <w:lang w:eastAsia="ru-RU"/>
        </w:rPr>
      </w:pPr>
      <w:r w:rsidRPr="0083179A">
        <w:drawing>
          <wp:inline distT="0" distB="0" distL="0" distR="0">
            <wp:extent cx="3432512" cy="2228850"/>
            <wp:effectExtent l="19050" t="19050" r="15875" b="19050"/>
            <wp:docPr id="4" name="Рисунок 5" descr="C:\Users\tatm.TYUMBIT\Desktop\Новая папка (2)\Новая папка (4)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C:\Users\tatm.TYUMBIT\Desktop\Новая папка (2)\Новая папка (4)\Screenshot_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362" cy="22345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61F8" w:rsidRPr="0083179A" w:rsidRDefault="0083179A" w:rsidP="0083179A">
      <w:pPr>
        <w:pStyle w:val="aa"/>
      </w:pPr>
      <w:r w:rsidRPr="0083179A">
        <w:t>В резул</w:t>
      </w:r>
      <w:r w:rsidRPr="0083179A">
        <w:t>ьтате откроется форма для заполнения расписания работы, в которой с помощью команды «Добавить» заполняем все необходимые поля.</w:t>
      </w:r>
    </w:p>
    <w:p w:rsidR="0083179A" w:rsidRDefault="0083179A" w:rsidP="0083179A">
      <w:pPr>
        <w:pStyle w:val="ac"/>
      </w:pPr>
      <w:r>
        <w:rPr>
          <w:noProof/>
        </w:rPr>
        <w:drawing>
          <wp:inline distT="0" distB="0" distL="0" distR="0">
            <wp:extent cx="6574383" cy="1600200"/>
            <wp:effectExtent l="0" t="0" r="0" b="0"/>
            <wp:docPr id="5" name="Рисунок 7" descr="C:\Users\tatm.TYUMBIT\Desktop\Новая папка (2)\Новая папка (4)\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 descr="C:\Users\tatm.TYUMBIT\Desktop\Новая папка (2)\Новая папка (4)\Screenshot_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58" cy="160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1F8" w:rsidRDefault="0083179A" w:rsidP="0083179A">
      <w:pPr>
        <w:pStyle w:val="aa"/>
      </w:pPr>
      <w:r>
        <w:t xml:space="preserve">Для рабочих дней необходимо заполнить периоды работы (начало и окончание периода). Для каждого периода работы при </w:t>
      </w:r>
      <w:r>
        <w:t xml:space="preserve">необходимости заполнить продолжительность приема и метку периода. Если же в данном периоде выполняется одна услуга, (например, «Прием торакального хирурга»), то в данном периоде необходимо указать данную номенклатуру из справочника «Номенклатура». Если же </w:t>
      </w:r>
      <w:r>
        <w:t>в данном периоде может выполняться множество услуг (например, «УЗИ брюшной полости», «УЗИ щитовидной железы» и т.д.), то в данное поле ни чего указывать не нужно.</w:t>
      </w:r>
    </w:p>
    <w:p w:rsidR="00DF61F8" w:rsidRPr="0083179A" w:rsidRDefault="0083179A" w:rsidP="0083179A">
      <w:pPr>
        <w:pStyle w:val="aa"/>
      </w:pPr>
      <w:r w:rsidRPr="0083179A">
        <w:t xml:space="preserve">Для </w:t>
      </w:r>
      <w:r w:rsidRPr="0083179A">
        <w:t>осуществления записи к специалисту из других</w:t>
      </w:r>
      <w:r w:rsidRPr="0083179A">
        <w:t xml:space="preserve"> МО </w:t>
      </w:r>
      <w:r w:rsidRPr="0083179A">
        <w:t>в графике следует указать метку периода «</w:t>
      </w:r>
      <w:r w:rsidRPr="0083179A">
        <w:t>Консультативный приём»</w:t>
      </w:r>
    </w:p>
    <w:p w:rsidR="00DF61F8" w:rsidRDefault="0083179A" w:rsidP="0083179A">
      <w:pPr>
        <w:pStyle w:val="ac"/>
      </w:pPr>
      <w:r>
        <w:rPr>
          <w:noProof/>
        </w:rPr>
        <w:drawing>
          <wp:inline distT="0" distB="0" distL="0" distR="0">
            <wp:extent cx="6686017" cy="1571625"/>
            <wp:effectExtent l="0" t="0" r="635" b="0"/>
            <wp:docPr id="6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998" cy="157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1F8" w:rsidRDefault="0083179A">
      <w:pPr>
        <w:pStyle w:val="western"/>
        <w:spacing w:beforeAutospacing="0" w:after="0" w:line="360" w:lineRule="auto"/>
        <w:ind w:firstLine="0"/>
      </w:pPr>
      <w:r>
        <w:t xml:space="preserve"> </w:t>
      </w:r>
      <w:r>
        <w:br w:type="page"/>
      </w:r>
    </w:p>
    <w:p w:rsidR="00DF61F8" w:rsidRDefault="0083179A" w:rsidP="0083179A">
      <w:pPr>
        <w:pStyle w:val="aa"/>
      </w:pPr>
      <w:r>
        <w:lastRenderedPageBreak/>
        <w:t>Заполнение расписания в предпраздничные дни проводится аналогичным образом. Также его можно скопировать с помощью команды «Скопировать расписание в предпраздничный день</w:t>
      </w:r>
      <w:proofErr w:type="gramStart"/>
      <w:r>
        <w:t xml:space="preserve">» </w:t>
      </w:r>
      <w:r>
        <w:rPr>
          <w:noProof/>
        </w:rPr>
        <w:drawing>
          <wp:inline distT="0" distB="0" distL="0" distR="0">
            <wp:extent cx="353060" cy="284480"/>
            <wp:effectExtent l="0" t="0" r="0" b="0"/>
            <wp:docPr id="7" name="Рисунок 9" descr="C:\Users\tatm.TYUMBIT\Desktop\Новая папка (2)\Новая папка (4)\Screenshot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9" descr="C:\Users\tatm.TYUMBIT\Desktop\Новая папка (2)\Новая папка (4)\Screenshot_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proofErr w:type="gramEnd"/>
    </w:p>
    <w:p w:rsidR="00DF61F8" w:rsidRDefault="0083179A">
      <w:pPr>
        <w:pStyle w:val="western"/>
        <w:spacing w:before="280" w:after="240" w:line="360" w:lineRule="auto"/>
        <w:ind w:firstLine="0"/>
        <w:jc w:val="center"/>
      </w:pPr>
      <w:r>
        <w:rPr>
          <w:noProof/>
        </w:rPr>
        <w:drawing>
          <wp:inline distT="0" distB="0" distL="0" distR="0">
            <wp:extent cx="6497048" cy="3648075"/>
            <wp:effectExtent l="19050" t="19050" r="18415" b="9525"/>
            <wp:docPr id="8" name="Рисунок 8" descr="C:\Users\tatm.TYUMBIT\Desktop\Новая папка (2)\Новая папка (4)\Screenshot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tatm.TYUMBIT\Desktop\Новая папка (2)\Новая папка (4)\Screenshot_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426" cy="36555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61F8" w:rsidRDefault="0083179A" w:rsidP="0083179A">
      <w:pPr>
        <w:pStyle w:val="aa"/>
      </w:pPr>
      <w:r>
        <w:t xml:space="preserve">Сохранение заполненного расписания производится </w:t>
      </w:r>
      <w:r>
        <w:t>с помощью команды «Ок». Общее количество рабочих часов отобразится в гиперссылке напротив выбранного дня.</w:t>
      </w:r>
    </w:p>
    <w:p w:rsidR="00DF61F8" w:rsidRDefault="0083179A" w:rsidP="0083179A">
      <w:pPr>
        <w:pStyle w:val="aa"/>
      </w:pPr>
      <w:r>
        <w:t>Если для всех рабочих дней период работы одинаковый, можно с помощью перетаскивания скопировать период работы от одного дня другому.</w:t>
      </w:r>
    </w:p>
    <w:p w:rsidR="00DF61F8" w:rsidRDefault="0083179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82606" cy="1704975"/>
            <wp:effectExtent l="19050" t="19050" r="18415" b="9525"/>
            <wp:docPr id="9" name="Рисунок 11" descr="C:\Users\tatm.TYUMBIT\Desktop\Новая папка (2)\Новая папка (4)\Screenshot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1" descr="C:\Users\tatm.TYUMBIT\Desktop\Новая папка (2)\Новая папка (4)\Screenshot_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177" cy="17100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3179A" w:rsidRDefault="0083179A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kern w:val="3"/>
          <w:sz w:val="28"/>
          <w:szCs w:val="24"/>
          <w:lang w:eastAsia="zh-CN"/>
        </w:rPr>
      </w:pPr>
      <w:r>
        <w:br w:type="page"/>
      </w:r>
    </w:p>
    <w:p w:rsidR="00DF61F8" w:rsidRDefault="0083179A" w:rsidP="0083179A">
      <w:pPr>
        <w:pStyle w:val="aa"/>
      </w:pPr>
      <w:r>
        <w:lastRenderedPageBreak/>
        <w:t>Если пос</w:t>
      </w:r>
      <w:r>
        <w:t xml:space="preserve">тавить галочку «Учитывать четность», то окно расписания будет разбито не на две, а на четыре части: для указания расписания в четные и нечетные дни, в обычные и предпраздничные дни. </w:t>
      </w:r>
    </w:p>
    <w:p w:rsidR="00DF61F8" w:rsidRDefault="0083179A" w:rsidP="0083179A">
      <w:pPr>
        <w:pStyle w:val="ac"/>
      </w:pPr>
      <w:r>
        <w:rPr>
          <w:noProof/>
        </w:rPr>
        <w:drawing>
          <wp:inline distT="0" distB="0" distL="0" distR="0">
            <wp:extent cx="6486525" cy="2866579"/>
            <wp:effectExtent l="19050" t="19050" r="9525" b="10160"/>
            <wp:docPr id="10" name="Рисунок 12" descr="C:\Users\tatm.TYUMBIT\Desktop\Новая папка (2)\Новая папка (4)\Screenshot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2" descr="C:\Users\tatm.TYUMBIT\Desktop\Новая папка (2)\Новая папка (4)\Screenshot_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395" cy="28735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61F8" w:rsidRDefault="0083179A" w:rsidP="0083179A">
      <w:pPr>
        <w:pStyle w:val="aa"/>
      </w:pPr>
      <w:r>
        <w:t>Если необходимо сделать так, чтобы рабочее место функционировало, н</w:t>
      </w:r>
      <w:r>
        <w:t>апример, в один понедельник по одному расписанию, а в другой понедельник – по-другому, необходимо создавать два отдельных графика и назначить их по-отдельности.</w:t>
      </w:r>
    </w:p>
    <w:p w:rsidR="00DF61F8" w:rsidRPr="0083179A" w:rsidRDefault="0083179A" w:rsidP="0083179A">
      <w:pPr>
        <w:pStyle w:val="aa"/>
        <w:ind w:firstLine="0"/>
      </w:pPr>
      <w:r w:rsidRPr="0083179A">
        <w:t>Сохранение графика работы производится с помощью команды «Записать и закрыть».</w:t>
      </w:r>
    </w:p>
    <w:p w:rsidR="00DF61F8" w:rsidRPr="0083179A" w:rsidRDefault="0083179A" w:rsidP="0083179A">
      <w:pPr>
        <w:pStyle w:val="aa"/>
        <w:ind w:firstLine="708"/>
      </w:pPr>
      <w:r w:rsidRPr="0083179A">
        <w:t>Так же в сист</w:t>
      </w:r>
      <w:r w:rsidRPr="0083179A">
        <w:t xml:space="preserve">еме выводится предупреждение об ошибках при заполнении графика работы.  </w:t>
      </w:r>
    </w:p>
    <w:p w:rsidR="00DF61F8" w:rsidRDefault="0083179A" w:rsidP="0083179A">
      <w:pPr>
        <w:pStyle w:val="ac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>
            <wp:extent cx="6443349" cy="3762375"/>
            <wp:effectExtent l="19050" t="19050" r="14605" b="9525"/>
            <wp:docPr id="11" name="Рисунок 15" descr="C:\Users\tatm.TYUMBIT\Desktop\Новая папка (2)\Новая папка (4)\Screenshot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5" descr="C:\Users\tatm.TYUMBIT\Desktop\Новая папка (2)\Новая папка (4)\Screenshot_1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30" cy="3776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61F8" w:rsidRDefault="0083179A" w:rsidP="0083179A">
      <w:pPr>
        <w:pStyle w:val="aa"/>
      </w:pPr>
      <w:r>
        <w:lastRenderedPageBreak/>
        <w:t>Если графиков работы в списке много, полезно разбить их на группы. Для ввода группы нажмите команду «Создать группу», введите наименование группы, сохраните с помощью команды «За</w:t>
      </w:r>
      <w:r>
        <w:t xml:space="preserve">писать и закрыть». </w:t>
      </w:r>
    </w:p>
    <w:p w:rsidR="00DF61F8" w:rsidRDefault="0083179A" w:rsidP="0083179A">
      <w:pPr>
        <w:pStyle w:val="aa"/>
      </w:pPr>
      <w:r>
        <w:t xml:space="preserve">Можно подчинить одну группу другой. Для этого при вводе выберите вышестоящую группу в поле «Группа графиков работы». </w:t>
      </w:r>
    </w:p>
    <w:p w:rsidR="00DF61F8" w:rsidRDefault="0083179A" w:rsidP="0083179A">
      <w:pPr>
        <w:pStyle w:val="aa"/>
      </w:pPr>
      <w:r>
        <w:t xml:space="preserve">После создания группы с помощью мыши перетащите графики работы в соответствующие группы. </w:t>
      </w:r>
    </w:p>
    <w:p w:rsidR="00DF61F8" w:rsidRPr="0083179A" w:rsidRDefault="0083179A" w:rsidP="0083179A">
      <w:pPr>
        <w:pStyle w:val="ac"/>
        <w:rPr>
          <w:rFonts w:eastAsia="Times New Roman" w:cs="Times New Roman"/>
          <w:lang w:eastAsia="ru-RU"/>
        </w:rPr>
      </w:pPr>
      <w:r w:rsidRPr="0083179A">
        <w:drawing>
          <wp:inline distT="0" distB="0" distL="0" distR="0">
            <wp:extent cx="6629400" cy="2134447"/>
            <wp:effectExtent l="19050" t="19050" r="19050" b="18415"/>
            <wp:docPr id="12" name="Рисунок 16" descr="C:\Users\tatm.TYUMBIT\Desktop\Новая папка (2)\Новая папка (4)\Screenshot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6" descr="C:\Users\tatm.TYUMBIT\Desktop\Новая папка (2)\Новая папка (4)\Screenshot_1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125" cy="21417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F61F8" w:rsidRPr="0083179A" w:rsidSect="0083179A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441C"/>
    <w:multiLevelType w:val="multilevel"/>
    <w:tmpl w:val="35185230"/>
    <w:lvl w:ilvl="0">
      <w:start w:val="1"/>
      <w:numFmt w:val="bullet"/>
      <w:lvlText w:val="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8114A"/>
    <w:multiLevelType w:val="multilevel"/>
    <w:tmpl w:val="F120E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F8"/>
    <w:rsid w:val="0083179A"/>
    <w:rsid w:val="00D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0BB6E-7EC0-4655-B1D0-8E4B1C52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54F2C"/>
    <w:pPr>
      <w:ind w:left="720"/>
      <w:contextualSpacing/>
    </w:pPr>
  </w:style>
  <w:style w:type="paragraph" w:customStyle="1" w:styleId="western">
    <w:name w:val="western"/>
    <w:basedOn w:val="a"/>
    <w:qFormat/>
    <w:rsid w:val="00A7149A"/>
    <w:pPr>
      <w:spacing w:beforeAutospacing="1" w:after="142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443F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Инструкции"/>
    <w:basedOn w:val="a"/>
    <w:link w:val="ab"/>
    <w:qFormat/>
    <w:rsid w:val="0083179A"/>
    <w:pPr>
      <w:autoSpaceDN w:val="0"/>
      <w:spacing w:after="120" w:line="288" w:lineRule="auto"/>
      <w:ind w:firstLine="709"/>
      <w:jc w:val="both"/>
      <w:textAlignment w:val="baseline"/>
    </w:pPr>
    <w:rPr>
      <w:rFonts w:ascii="Times New Roman" w:eastAsia="Times New Roman" w:hAnsi="Times New Roman" w:cs="Arial"/>
      <w:color w:val="000000" w:themeColor="text1"/>
      <w:kern w:val="3"/>
      <w:sz w:val="28"/>
      <w:szCs w:val="24"/>
      <w:lang w:eastAsia="zh-CN"/>
    </w:rPr>
  </w:style>
  <w:style w:type="character" w:customStyle="1" w:styleId="ab">
    <w:name w:val="Инструкции Знак"/>
    <w:basedOn w:val="a0"/>
    <w:link w:val="aa"/>
    <w:rsid w:val="0083179A"/>
    <w:rPr>
      <w:rFonts w:ascii="Times New Roman" w:eastAsia="Times New Roman" w:hAnsi="Times New Roman" w:cs="Arial"/>
      <w:color w:val="000000" w:themeColor="text1"/>
      <w:kern w:val="3"/>
      <w:sz w:val="28"/>
      <w:szCs w:val="24"/>
      <w:lang w:eastAsia="zh-CN"/>
    </w:rPr>
  </w:style>
  <w:style w:type="paragraph" w:customStyle="1" w:styleId="ac">
    <w:name w:val="Рисунки и подписи к ним"/>
    <w:basedOn w:val="a"/>
    <w:link w:val="ad"/>
    <w:qFormat/>
    <w:rsid w:val="0083179A"/>
    <w:pPr>
      <w:widowControl w:val="0"/>
      <w:tabs>
        <w:tab w:val="left" w:pos="1702"/>
        <w:tab w:val="left" w:pos="1843"/>
      </w:tabs>
      <w:autoSpaceDN w:val="0"/>
      <w:spacing w:after="120" w:line="288" w:lineRule="auto"/>
      <w:jc w:val="center"/>
      <w:textAlignment w:val="baseline"/>
    </w:pPr>
    <w:rPr>
      <w:rFonts w:ascii="Times New Roman" w:hAnsi="Times New Roman" w:cs="Arial"/>
      <w:color w:val="000000" w:themeColor="text1"/>
      <w:sz w:val="24"/>
      <w:szCs w:val="24"/>
    </w:rPr>
  </w:style>
  <w:style w:type="character" w:customStyle="1" w:styleId="ad">
    <w:name w:val="Рисунки и подписи к ним Знак"/>
    <w:basedOn w:val="a0"/>
    <w:link w:val="ac"/>
    <w:rsid w:val="0083179A"/>
    <w:rPr>
      <w:rFonts w:ascii="Times New Roman" w:hAnsi="Times New Roman" w:cs="Arial"/>
      <w:color w:val="000000" w:themeColor="text1"/>
      <w:sz w:val="24"/>
      <w:szCs w:val="24"/>
    </w:rPr>
  </w:style>
  <w:style w:type="paragraph" w:customStyle="1" w:styleId="ae">
    <w:name w:val="Отст Инструкция"/>
    <w:basedOn w:val="a"/>
    <w:link w:val="af"/>
    <w:qFormat/>
    <w:rsid w:val="0083179A"/>
    <w:pPr>
      <w:autoSpaceDN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noProof/>
      <w:kern w:val="3"/>
      <w:sz w:val="28"/>
      <w:szCs w:val="28"/>
      <w:lang w:eastAsia="zh-CN"/>
    </w:rPr>
  </w:style>
  <w:style w:type="character" w:customStyle="1" w:styleId="af">
    <w:name w:val="Отст Инструкция Знак"/>
    <w:basedOn w:val="a0"/>
    <w:link w:val="ae"/>
    <w:rsid w:val="0083179A"/>
    <w:rPr>
      <w:rFonts w:ascii="Times New Roman" w:eastAsia="Times New Roman" w:hAnsi="Times New Roman" w:cs="Times New Roman"/>
      <w:noProof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600</Words>
  <Characters>3425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dc:description/>
  <cp:lastModifiedBy>Кирилл</cp:lastModifiedBy>
  <cp:revision>33</cp:revision>
  <dcterms:created xsi:type="dcterms:W3CDTF">2017-11-21T04:14:00Z</dcterms:created>
  <dcterms:modified xsi:type="dcterms:W3CDTF">2020-10-07T09:00:00Z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