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</w:rPr>
      </w:pPr>
      <w:r>
        <w:rPr>
          <w:b/>
        </w:rPr>
        <w:t>Соглашение</w:t>
      </w:r>
    </w:p>
    <w:p>
      <w:pPr>
        <w:pStyle w:val="Standard"/>
        <w:ind w:firstLine="540"/>
        <w:jc w:val="center"/>
        <w:rPr>
          <w:b/>
          <w:b/>
        </w:rPr>
      </w:pPr>
      <w:r>
        <w:rPr>
          <w:b/>
        </w:rPr>
        <w:t>об информационном взаимодействии по организации сервиса оплаты медицинских услуг через сеть инфокиосков</w:t>
      </w:r>
    </w:p>
    <w:p>
      <w:pPr>
        <w:pStyle w:val="Standard"/>
        <w:ind w:firstLine="54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andard"/>
        <w:jc w:val="both"/>
        <w:rPr/>
      </w:pPr>
      <w:r>
        <w:rPr/>
        <w:t>г. Тюмень</w:t>
        <w:tab/>
        <w:tab/>
        <w:tab/>
        <w:tab/>
        <w:tab/>
        <w:tab/>
        <w:tab/>
        <w:tab/>
        <w:t xml:space="preserve">                  «____»______ 2017 г.</w:t>
      </w:r>
    </w:p>
    <w:p>
      <w:pPr>
        <w:pStyle w:val="Standard"/>
        <w:jc w:val="both"/>
        <w:rPr/>
      </w:pPr>
      <w:r>
        <w:rPr/>
      </w:r>
    </w:p>
    <w:p>
      <w:pPr>
        <w:pStyle w:val="Standard"/>
        <w:ind w:firstLine="540"/>
        <w:jc w:val="both"/>
        <w:rPr/>
      </w:pPr>
      <w:r>
        <w:rPr/>
        <w:t>Государственное казенное учреждение Тюменской области «Центр информационных технологий Тюменской области», именуемый в дальнейшем «Учреждение», в лице директора Усманова Артура Рифовича, действующего на основании Устава, с одной стороны, и __________________, именуемый в дальнейшем «Банк», в лице ___________, действующего на основании ______________, с другой стороны, совместно именуемые Стороны, заключили настоящее соглашение (далее – Соглашение) о нижеследующем.</w:t>
      </w:r>
    </w:p>
    <w:p>
      <w:pPr>
        <w:pStyle w:val="Standard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jc w:val="center"/>
        <w:rPr>
          <w:b/>
          <w:b/>
        </w:rPr>
      </w:pPr>
      <w:r>
        <w:rPr>
          <w:b/>
        </w:rPr>
        <w:t>1. Термины и определения</w:t>
      </w:r>
    </w:p>
    <w:p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ind w:firstLine="540"/>
        <w:jc w:val="both"/>
        <w:rPr/>
      </w:pPr>
      <w:r>
        <w:rPr/>
        <w:t>В Соглашении используются следующие основные понятия:</w:t>
      </w:r>
    </w:p>
    <w:p>
      <w:pPr>
        <w:pStyle w:val="Standard"/>
        <w:ind w:firstLine="540"/>
        <w:jc w:val="both"/>
        <w:rPr/>
      </w:pPr>
      <w:r>
        <w:rPr/>
        <w:t>1.1. Центр обработки данных (ЦОД) – центр сбора, хранения, обработки данных, характеризующийся наличием: серверного комплекса, подсистем хранения данных (основного хранилища данных и подсистемы резервного копирования), коммуникационной подсистемы; подсистем жизнеобеспечения (кондиционирования, гарантированного электропитания), подсистем обеспечения безопасности (автоматического пожаротушения, видеонаблюдения, контроля управления доступом, охранно-пожарной сигнализации).</w:t>
      </w:r>
    </w:p>
    <w:p>
      <w:pPr>
        <w:pStyle w:val="Standard"/>
        <w:ind w:firstLine="540"/>
        <w:jc w:val="both"/>
        <w:rPr/>
      </w:pPr>
      <w:r>
        <w:rPr/>
        <w:t>1.2. Медицинская организация – _______________, с которой у Банка заключен договор от __________ № __________ на перевод принятых денежных средств по поручению физических лиц (далее - Договор).</w:t>
      </w:r>
    </w:p>
    <w:p>
      <w:pPr>
        <w:pStyle w:val="Standard"/>
        <w:ind w:firstLine="540"/>
        <w:jc w:val="both"/>
        <w:rPr/>
      </w:pPr>
      <w:r>
        <w:rPr/>
        <w:t>1.3. Участники взаимодействия – Банк, Учреждение, Медицинская организация.</w:t>
      </w:r>
    </w:p>
    <w:p>
      <w:pPr>
        <w:pStyle w:val="Standard"/>
        <w:ind w:firstLine="540"/>
        <w:jc w:val="both"/>
        <w:rPr/>
      </w:pPr>
      <w:r>
        <w:rPr/>
        <w:t>1.4. Доступ к информации – возможность получения информации и её использования.</w:t>
      </w:r>
    </w:p>
    <w:p>
      <w:pPr>
        <w:pStyle w:val="Standard"/>
        <w:ind w:firstLine="540"/>
        <w:jc w:val="both"/>
        <w:rPr/>
      </w:pPr>
      <w:r>
        <w:rPr/>
        <w:t>1.5. Информация – данные, необходимые для совершения оплаты медицинских услуг (номер договора о предоставлении медицинских услуг физическому лицу, ФИО физического лица, осуществляющего оплату по договору о предоставлении медицинских услуг физическому лицу, сумма к оплате по договору о предоставлении медицинских услуг физическому лицу).</w:t>
      </w:r>
    </w:p>
    <w:p>
      <w:pPr>
        <w:pStyle w:val="Standard"/>
        <w:ind w:firstLine="540"/>
        <w:jc w:val="both"/>
        <w:rPr/>
      </w:pPr>
      <w:r>
        <w:rPr/>
        <w:t>1.6. Информационно-платежный терминал (инфокиоск) – устройство для осуществления в автоматическом режиме  приема средств наличного платежа (банкнот) с использованием платежных карт, наличных денежных расчетов и (или) расчетов с использованием платежных карт, передачи распоряжений кредитной организации об осуществлении расчетов по поручению клиентов по их банковским счетам (оплата услуг, переводы, гашение кредита, открытие, пополнение, частичная выдача и закрытие вклада), для составления документов, подтверждающих передачу соответствующих распоряжений, и управления сервисами (осуществление записи на прием к врачу, подключение программы лояльности и т.д.).</w:t>
      </w:r>
    </w:p>
    <w:p>
      <w:pPr>
        <w:pStyle w:val="Standard"/>
        <w:ind w:firstLine="540"/>
        <w:jc w:val="both"/>
        <w:rPr/>
      </w:pPr>
      <w:r>
        <w:rPr/>
        <w:t>1.7. Система – информационная система управления ресурсами медицинских организаций Тюменской области, оператором которой является Учреждение, а участником – Медицинская организация.</w:t>
      </w:r>
    </w:p>
    <w:p>
      <w:pPr>
        <w:pStyle w:val="Standard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ind w:left="0" w:firstLine="720"/>
        <w:jc w:val="center"/>
        <w:rPr>
          <w:b/>
          <w:b/>
        </w:rPr>
      </w:pPr>
      <w:r>
        <w:rPr>
          <w:b/>
        </w:rPr>
        <w:t>2. Предмет соглашения</w:t>
      </w:r>
    </w:p>
    <w:p>
      <w:pPr>
        <w:pStyle w:val="ListParagraph"/>
        <w:ind w:left="0" w:firstLine="720"/>
        <w:jc w:val="center"/>
        <w:rPr>
          <w:b/>
          <w:b/>
        </w:rPr>
      </w:pPr>
      <w:r>
        <w:rPr>
          <w:b/>
        </w:rPr>
      </w:r>
    </w:p>
    <w:p>
      <w:pPr>
        <w:pStyle w:val="ListParagraph"/>
        <w:ind w:left="0" w:firstLine="720"/>
        <w:jc w:val="both"/>
        <w:rPr/>
      </w:pPr>
      <w:r>
        <w:rPr/>
        <w:t>2.1. Соглашение заключено в соответствии с:</w:t>
      </w:r>
    </w:p>
    <w:p>
      <w:pPr>
        <w:pStyle w:val="ListParagraph"/>
        <w:ind w:left="0" w:firstLine="720"/>
        <w:jc w:val="both"/>
        <w:rPr/>
      </w:pPr>
      <w:r>
        <w:rPr>
          <w:rFonts w:eastAsia="Arial"/>
        </w:rPr>
        <w:t xml:space="preserve">– </w:t>
      </w:r>
      <w:r>
        <w:rPr/>
        <w:t>Федеральным законом от 27.07.2006г. № 149-ФЗ «Об информации, информационных технологиях и о защите информации».</w:t>
      </w:r>
    </w:p>
    <w:p>
      <w:pPr>
        <w:pStyle w:val="ListParagraph"/>
        <w:ind w:left="0" w:firstLine="720"/>
        <w:jc w:val="both"/>
        <w:rPr/>
      </w:pPr>
      <w:r>
        <w:rPr/>
        <w:t>2.2. Стороны осуществляют информационно - технологическое взаимодействие с целью организации информационного обмена, необходимого для реализации и дальнейшего функционирования сервиса оплаты медицинских услуг, предоставляемых Медицинской организацией, в сети инфокиосков Банка.</w:t>
      </w:r>
    </w:p>
    <w:p>
      <w:pPr>
        <w:pStyle w:val="ListParagraph"/>
        <w:ind w:left="0" w:firstLine="720"/>
        <w:jc w:val="both"/>
        <w:rPr/>
      </w:pPr>
      <w:r>
        <w:rPr/>
        <w:t>2.3. Соглашение для обеих Сторон является безвозмездным.</w:t>
      </w:r>
    </w:p>
    <w:p>
      <w:pPr>
        <w:pStyle w:val="ListParagraph"/>
        <w:ind w:left="0" w:firstLine="720"/>
        <w:jc w:val="both"/>
        <w:rPr/>
      </w:pPr>
      <w:r>
        <w:rPr/>
      </w:r>
    </w:p>
    <w:p>
      <w:pPr>
        <w:pStyle w:val="ListParagraph"/>
        <w:ind w:left="0" w:firstLine="540"/>
        <w:jc w:val="center"/>
        <w:rPr>
          <w:b/>
          <w:b/>
        </w:rPr>
      </w:pPr>
      <w:r>
        <w:rPr>
          <w:b/>
        </w:rPr>
        <w:t>3. Права и обязанности сторон</w:t>
      </w:r>
    </w:p>
    <w:p>
      <w:pPr>
        <w:pStyle w:val="ListParagraph"/>
        <w:ind w:left="0" w:firstLine="540"/>
        <w:jc w:val="both"/>
        <w:rPr/>
      </w:pPr>
      <w:r>
        <w:rPr/>
        <w:t>3.1. Банк обязуется:</w:t>
      </w:r>
    </w:p>
    <w:p>
      <w:pPr>
        <w:pStyle w:val="ListParagraph"/>
        <w:ind w:left="0" w:firstLine="567"/>
        <w:jc w:val="both"/>
        <w:rPr/>
      </w:pPr>
      <w:r>
        <w:rPr/>
        <w:t>3.1.1. осуществить доработку программного обеспечения инфокиосков для реализации пользовательского интерфейса сервиса оплаты медицинских услуг, предоставляемых Медицинской организацией.</w:t>
      </w:r>
    </w:p>
    <w:p>
      <w:pPr>
        <w:pStyle w:val="ListParagraph"/>
        <w:ind w:left="0" w:firstLine="540"/>
        <w:jc w:val="both"/>
        <w:rPr/>
      </w:pPr>
      <w:r>
        <w:rPr/>
        <w:t>Пользовательский интерфейс инфокиосков для доступа к сервису оплаты медицинских услуг, предоставляемых Медицинской организацией должен обеспечивать приемлемое время реакции, не превышающее 5 секунд для каждого действия пользователя;</w:t>
      </w:r>
    </w:p>
    <w:p>
      <w:pPr>
        <w:pStyle w:val="ListParagraph"/>
        <w:ind w:left="0" w:firstLine="540"/>
        <w:jc w:val="both"/>
        <w:rPr/>
      </w:pPr>
      <w:r>
        <w:rPr/>
        <w:t>3.1.2. организовать защищенный канал передачи данных до ЦОД по адресу: г. Тюмень, ул. Советская, д. 61;</w:t>
      </w:r>
    </w:p>
    <w:p>
      <w:pPr>
        <w:pStyle w:val="ListParagraph"/>
        <w:ind w:left="0" w:firstLine="540"/>
        <w:jc w:val="both"/>
        <w:rPr/>
      </w:pPr>
      <w:r>
        <w:rPr/>
        <w:t>3.1.3. обеспечить доступ физических лиц к сервису оплаты медицинских услуг, предоставляемых Медицинской организацией, в инфокиосках Банка;</w:t>
      </w:r>
    </w:p>
    <w:p>
      <w:pPr>
        <w:pStyle w:val="Standard"/>
        <w:tabs>
          <w:tab w:val="left" w:pos="0" w:leader="none"/>
        </w:tabs>
        <w:ind w:firstLine="567"/>
        <w:jc w:val="both"/>
        <w:rPr/>
      </w:pPr>
      <w:r>
        <w:rPr/>
        <w:t xml:space="preserve">3.1.4. осуществлять </w:t>
      </w:r>
      <w:r>
        <w:rPr>
          <w:lang w:eastAsia="ru-RU"/>
        </w:rPr>
        <w:t>сопровождение разработанного функционала. В сопровождение входит:</w:t>
      </w:r>
    </w:p>
    <w:p>
      <w:pPr>
        <w:pStyle w:val="Standard"/>
        <w:tabs>
          <w:tab w:val="left" w:pos="0" w:leader="none"/>
        </w:tabs>
        <w:suppressAutoHyphens w:val="false"/>
        <w:ind w:firstLine="567"/>
        <w:jc w:val="both"/>
        <w:rPr/>
      </w:pPr>
      <w:r>
        <w:rPr>
          <w:lang w:eastAsia="ru-RU"/>
        </w:rPr>
        <w:t xml:space="preserve">– </w:t>
      </w:r>
      <w:r>
        <w:rPr>
          <w:lang w:eastAsia="ru-RU"/>
        </w:rPr>
        <w:t xml:space="preserve">обеспечение возможности оплаты медицинских услуг, предоставляемых Медицинской организацией, в инфокиосках. При бесперебойной работе сервера Учреждения Банк обязан обеспечивать контроль за доступностью сервиса </w:t>
      </w:r>
      <w:r>
        <w:rPr/>
        <w:t>оплаты медицинских услуг, предоставляемых Медицинской организацией</w:t>
      </w:r>
      <w:r>
        <w:rPr>
          <w:lang w:eastAsia="ru-RU"/>
        </w:rPr>
        <w:t xml:space="preserve"> с учетом режима работы Учреждения, Банка и времени, затрачиваемого на плановое обслуживание инфокиосков, инкассацию и ремонт;</w:t>
      </w:r>
    </w:p>
    <w:p>
      <w:pPr>
        <w:pStyle w:val="Standard"/>
        <w:tabs>
          <w:tab w:val="left" w:pos="0" w:leader="none"/>
        </w:tabs>
        <w:suppressAutoHyphens w:val="false"/>
        <w:ind w:firstLine="567"/>
        <w:jc w:val="both"/>
        <w:rPr>
          <w:lang w:eastAsia="ru-RU"/>
        </w:rPr>
      </w:pPr>
      <w:r>
        <w:rPr>
          <w:lang w:eastAsia="ru-RU"/>
        </w:rPr>
        <w:t xml:space="preserve">– </w:t>
      </w:r>
      <w:r>
        <w:rPr>
          <w:lang w:eastAsia="ru-RU"/>
        </w:rPr>
        <w:t>исправление недостатков, выявленных в процессе эксплуатации;</w:t>
      </w:r>
    </w:p>
    <w:p>
      <w:pPr>
        <w:pStyle w:val="Standard"/>
        <w:tabs>
          <w:tab w:val="left" w:pos="0" w:leader="none"/>
        </w:tabs>
        <w:suppressAutoHyphens w:val="false"/>
        <w:ind w:firstLine="567"/>
        <w:jc w:val="both"/>
        <w:rPr/>
      </w:pPr>
      <w:r>
        <w:rPr>
          <w:lang w:eastAsia="ru-RU"/>
        </w:rPr>
        <w:t>– </w:t>
      </w:r>
      <w:r>
        <w:rPr>
          <w:lang w:eastAsia="ru-RU"/>
        </w:rPr>
        <w:t xml:space="preserve">доработка программного обеспечения инфокиосков в случае принятия решения Сторонами о внесении изменений в логику или интерфейсы сервиса оплаты медицинских услуг, </w:t>
      </w:r>
      <w:r>
        <w:rPr/>
        <w:t>предоставляемых Медицинской организацией</w:t>
      </w:r>
      <w:r>
        <w:rPr>
          <w:lang w:eastAsia="ru-RU"/>
        </w:rPr>
        <w:t>;</w:t>
      </w:r>
    </w:p>
    <w:p>
      <w:pPr>
        <w:pStyle w:val="ListParagraph"/>
        <w:ind w:left="0" w:firstLine="540"/>
        <w:jc w:val="both"/>
        <w:rPr/>
      </w:pPr>
      <w:r>
        <w:rPr>
          <w:lang w:eastAsia="ru-RU"/>
        </w:rPr>
        <w:t>– </w:t>
      </w:r>
      <w:r>
        <w:rPr>
          <w:lang w:eastAsia="ru-RU"/>
        </w:rPr>
        <w:t>техническое сопровождение инфокиосков и размещенного в них пользовательского интерфейса сервиса оплаты медицинских услуг,</w:t>
      </w:r>
      <w:r>
        <w:rPr/>
        <w:t xml:space="preserve"> предоставляемых Медицинской организацией</w:t>
      </w:r>
      <w:r>
        <w:rPr>
          <w:lang w:eastAsia="ru-RU"/>
        </w:rPr>
        <w:t>;</w:t>
      </w:r>
    </w:p>
    <w:p>
      <w:pPr>
        <w:pStyle w:val="ListParagraph"/>
        <w:ind w:left="0" w:firstLine="540"/>
        <w:jc w:val="both"/>
        <w:rPr/>
      </w:pPr>
      <w:r>
        <w:rPr>
          <w:lang w:eastAsia="ru-RU"/>
        </w:rPr>
        <w:t>– </w:t>
      </w:r>
      <w:r>
        <w:rPr>
          <w:lang w:eastAsia="ru-RU"/>
        </w:rPr>
        <w:t>взаимодействовать с Медицинской</w:t>
      </w:r>
      <w:r>
        <w:rPr/>
        <w:t xml:space="preserve"> организацией по вопросам:</w:t>
      </w:r>
    </w:p>
    <w:p>
      <w:pPr>
        <w:pStyle w:val="ListParagraph"/>
        <w:ind w:left="0" w:firstLine="540"/>
        <w:jc w:val="both"/>
        <w:rPr/>
      </w:pPr>
      <w:r>
        <w:rPr/>
        <w:t>корректности работы сервиса оплаты медицинских услуг, предоставляемых Медицинской организацией;</w:t>
      </w:r>
    </w:p>
    <w:p>
      <w:pPr>
        <w:pStyle w:val="ListParagraph"/>
        <w:ind w:left="0" w:firstLine="540"/>
        <w:jc w:val="both"/>
        <w:rPr/>
      </w:pPr>
      <w:r>
        <w:rPr>
          <w:lang w:eastAsia="ru-RU"/>
        </w:rPr>
        <w:t>– </w:t>
      </w:r>
      <w:r>
        <w:rPr/>
        <w:t>взаимодействия с физическими лицами (пользователями) сервиса оплаты медицинских услуг, предоставляемых Медицинской организацией, включая урегулирование конфликтных и спорных ситуаций;</w:t>
      </w:r>
    </w:p>
    <w:p>
      <w:pPr>
        <w:pStyle w:val="ListParagraph"/>
        <w:ind w:left="0" w:firstLine="540"/>
        <w:jc w:val="both"/>
        <w:rPr/>
      </w:pPr>
      <w:r>
        <w:rPr>
          <w:lang w:eastAsia="ru-RU"/>
        </w:rPr>
        <w:t>– </w:t>
      </w:r>
      <w:r>
        <w:rPr/>
        <w:t>урегулирования спорных ситуаций, относящихся к работе сервиса оплаты медицинских услуг, предоставляемых Медицинской организацией;</w:t>
      </w:r>
    </w:p>
    <w:p>
      <w:pPr>
        <w:pStyle w:val="ListParagraph"/>
        <w:ind w:left="0" w:firstLine="540"/>
        <w:jc w:val="both"/>
        <w:rPr/>
      </w:pPr>
      <w:r>
        <w:rPr/>
        <w:t>3.1.5. Уведомить Учреждение о расторжении (прекращении) Договора в течение 5 (пяти) дней с даты расторжения (прекращения).</w:t>
      </w:r>
    </w:p>
    <w:p>
      <w:pPr>
        <w:pStyle w:val="ListParagraph"/>
        <w:ind w:left="0" w:firstLine="540"/>
        <w:jc w:val="both"/>
        <w:rPr/>
      </w:pPr>
      <w:r>
        <w:rPr/>
        <w:t>3.2.  Учреждение обязуется:</w:t>
      </w:r>
    </w:p>
    <w:p>
      <w:pPr>
        <w:pStyle w:val="ListParagraph"/>
        <w:ind w:left="0" w:firstLine="540"/>
        <w:jc w:val="both"/>
        <w:rPr/>
      </w:pPr>
      <w:r>
        <w:rPr/>
        <w:t>3.2.1. предоставить возможность взаимодействия программного обеспечения Банка с сервисами Системы;</w:t>
      </w:r>
    </w:p>
    <w:p>
      <w:pPr>
        <w:pStyle w:val="ListParagraph"/>
        <w:ind w:left="0" w:firstLine="540"/>
        <w:jc w:val="both"/>
        <w:rPr/>
      </w:pPr>
      <w:r>
        <w:rPr/>
        <w:t>3.2.2. обеспечивать работоспособность сервисов Системы в рабочее время Учреждения.</w:t>
      </w:r>
    </w:p>
    <w:p>
      <w:pPr>
        <w:pStyle w:val="ListParagraph"/>
        <w:ind w:left="0" w:firstLine="540"/>
        <w:jc w:val="both"/>
        <w:rPr/>
      </w:pPr>
      <w:r>
        <w:rPr/>
      </w:r>
    </w:p>
    <w:p>
      <w:pPr>
        <w:pStyle w:val="ListParagraph"/>
        <w:ind w:left="0" w:hanging="0"/>
        <w:jc w:val="center"/>
        <w:rPr>
          <w:b/>
          <w:b/>
        </w:rPr>
      </w:pPr>
      <w:r>
        <w:rPr>
          <w:b/>
        </w:rPr>
        <w:t>4. Условия защиты информации</w:t>
      </w:r>
    </w:p>
    <w:p>
      <w:pPr>
        <w:pStyle w:val="ListParagraph"/>
        <w:ind w:left="0" w:hanging="0"/>
        <w:jc w:val="center"/>
        <w:rPr>
          <w:b/>
          <w:b/>
        </w:rPr>
      </w:pPr>
      <w:r>
        <w:rPr>
          <w:b/>
        </w:rPr>
        <w:t>и ответственность сторон</w:t>
      </w:r>
    </w:p>
    <w:p>
      <w:pPr>
        <w:pStyle w:val="ListParagraph"/>
        <w:ind w:left="0" w:firstLine="540"/>
        <w:jc w:val="both"/>
        <w:rPr/>
      </w:pPr>
      <w:r>
        <w:rPr/>
      </w:r>
    </w:p>
    <w:p>
      <w:pPr>
        <w:pStyle w:val="ListParagraph"/>
        <w:ind w:left="0" w:firstLine="540"/>
        <w:jc w:val="both"/>
        <w:rPr/>
      </w:pPr>
      <w:r>
        <w:rPr/>
        <w:t>4.1. В рамках данного Соглашения Стороны несут ответственность за свои действия в соответствии с законодательством Российской Федерации и иными нормативно-методическими документами в области защиты информации.</w:t>
      </w:r>
    </w:p>
    <w:p>
      <w:pPr>
        <w:pStyle w:val="ListParagraph"/>
        <w:ind w:left="0" w:firstLine="540"/>
        <w:jc w:val="both"/>
        <w:rPr/>
      </w:pPr>
      <w:r>
        <w:rPr/>
        <w:t>Действия Сторон, нарушающие положения трудового, административного и уголовного законодательства Российской Федерации, повлекшие нанесение какого либо ущерба Учреждению или Банку, могут повлечь дисциплинарную, административную и уголовную ответственность в соответствии с законодательством Российской Федерации.</w:t>
      </w:r>
    </w:p>
    <w:p>
      <w:pPr>
        <w:pStyle w:val="ListParagraph"/>
        <w:ind w:left="0" w:firstLine="540"/>
        <w:jc w:val="both"/>
        <w:rPr/>
      </w:pPr>
      <w:r>
        <w:rPr/>
        <w:t>Стороны должны применять на своих рабочих местах и серверах, участвующих в обработке информации при организации взаимодействия, средства защиты информации, достаточные для соблюдения конфиденциальности, целостности и доступности информации, полученной им в ходе взаимодействия, в том числе:</w:t>
      </w:r>
    </w:p>
    <w:p>
      <w:pPr>
        <w:pStyle w:val="ListParagraph"/>
        <w:ind w:left="0" w:firstLine="540"/>
        <w:jc w:val="both"/>
        <w:rPr/>
      </w:pPr>
      <w:r>
        <w:rPr/>
        <w:t>4.1.1. Доступ к Системе осуществляется с использованием сертифицированных средств криптографической защиты информации на базе продуктов VipNet Custom  в соответствии с действующим законодательством Российской Федерации. Защита каналов связи строится путем организации межсетевого взаимодействия сетей VipNet Правительства Тюменской области № 1481 и Банка № _________.</w:t>
      </w:r>
    </w:p>
    <w:p>
      <w:pPr>
        <w:pStyle w:val="ListParagraph"/>
        <w:ind w:left="0" w:firstLine="540"/>
        <w:jc w:val="both"/>
        <w:rPr/>
      </w:pPr>
      <w:r>
        <w:rPr/>
        <w:t>4.2. Стороны по Соглашению обязаны своевременно информировать друг друга об обнаружении фактов нарушения информационной безопасности и незамедлительно принимать необходимые меры для исключения повторения данных фактов.</w:t>
      </w:r>
    </w:p>
    <w:p>
      <w:pPr>
        <w:pStyle w:val="ListParagraph"/>
        <w:ind w:left="0" w:firstLine="540"/>
        <w:jc w:val="both"/>
        <w:rPr/>
      </w:pPr>
      <w:r>
        <w:rPr/>
        <w:t>4.2.1. Контактные данные специалистов Учреждения:</w:t>
      </w:r>
    </w:p>
    <w:p>
      <w:pPr>
        <w:pStyle w:val="ListParagraph"/>
        <w:ind w:left="0" w:firstLine="540"/>
        <w:jc w:val="both"/>
        <w:rPr/>
      </w:pPr>
      <w:r>
        <w:rPr/>
        <w:t xml:space="preserve">      </w:t>
      </w:r>
      <w:r>
        <w:rPr/>
        <w:t>- Охотников Е.С., тел.: (3452) 681-603, email: OkhotnikovES@72to.ru;</w:t>
      </w:r>
    </w:p>
    <w:p>
      <w:pPr>
        <w:pStyle w:val="ListParagraph"/>
        <w:ind w:left="0" w:firstLine="540"/>
        <w:jc w:val="both"/>
        <w:rPr/>
      </w:pPr>
      <w:r>
        <w:rPr/>
        <w:t xml:space="preserve">      </w:t>
      </w:r>
      <w:r>
        <w:rPr/>
        <w:t xml:space="preserve">- Платонов И.В., тел.: (3452) 543-047, email: </w:t>
      </w:r>
      <w:hyperlink r:id="rId2">
        <w:r>
          <w:rPr>
            <w:rStyle w:val="Style8"/>
          </w:rPr>
          <w:t>PlatonovIV@72to.ru</w:t>
        </w:r>
      </w:hyperlink>
      <w:r>
        <w:rPr/>
        <w:t>.</w:t>
      </w:r>
    </w:p>
    <w:p>
      <w:pPr>
        <w:pStyle w:val="ListParagraph"/>
        <w:ind w:left="0" w:firstLine="540"/>
        <w:jc w:val="both"/>
        <w:rPr/>
      </w:pPr>
      <w:bookmarkStart w:id="0" w:name="_GoBack"/>
      <w:bookmarkEnd w:id="0"/>
      <w:r>
        <w:rPr/>
        <w:t>4.2.2. Контактные данные специалистов Банка:</w:t>
      </w:r>
    </w:p>
    <w:p>
      <w:pPr>
        <w:pStyle w:val="ListParagraph"/>
        <w:ind w:left="0" w:firstLine="540"/>
        <w:jc w:val="both"/>
        <w:rPr/>
      </w:pPr>
      <w:r>
        <w:rPr/>
        <w:t xml:space="preserve">      </w:t>
      </w:r>
      <w:r>
        <w:rPr/>
        <w:t>- __________., тел.:__________, email: __________.</w:t>
      </w:r>
    </w:p>
    <w:p>
      <w:pPr>
        <w:pStyle w:val="ListParagraph"/>
        <w:ind w:left="0" w:firstLine="540"/>
        <w:jc w:val="both"/>
        <w:rPr/>
      </w:pPr>
      <w:r>
        <w:rPr/>
        <w:t>4.3. Стороны предотвращают воздействие на технические средства обработки информации, в результате которого нарушается их функционирование.</w:t>
      </w:r>
    </w:p>
    <w:p>
      <w:pPr>
        <w:pStyle w:val="ListParagraph"/>
        <w:ind w:left="0" w:firstLine="540"/>
        <w:jc w:val="both"/>
        <w:rPr/>
      </w:pPr>
      <w:r>
        <w:rPr/>
        <w:t>4.4. Стороны обеспечивают восстановление информации, модифицированной или уничтоженной вследствие несанкционированного доступа к ней или программно-математического воздействия (вирусов).</w:t>
      </w:r>
    </w:p>
    <w:p>
      <w:pPr>
        <w:pStyle w:val="ListParagraph"/>
        <w:ind w:left="0" w:firstLine="540"/>
        <w:jc w:val="both"/>
        <w:rPr/>
      </w:pPr>
      <w:r>
        <w:rPr/>
        <w:t>4.5. Ответственность перед третьими лицами в случае предъявления ими претензий материального или иного характера, существо которых связано с реализацией Сторонами правомочий в рамках Соглашения, Стороны несут самостоятельно.</w:t>
      </w:r>
    </w:p>
    <w:p>
      <w:pPr>
        <w:pStyle w:val="ListParagraph"/>
        <w:ind w:left="0" w:firstLine="540"/>
        <w:jc w:val="both"/>
        <w:rPr/>
      </w:pPr>
      <w:r>
        <w:rPr/>
      </w:r>
    </w:p>
    <w:p>
      <w:pPr>
        <w:pStyle w:val="ListParagraph"/>
        <w:ind w:left="0" w:hanging="0"/>
        <w:jc w:val="center"/>
        <w:rPr>
          <w:b/>
          <w:b/>
        </w:rPr>
      </w:pPr>
      <w:r>
        <w:rPr>
          <w:b/>
        </w:rPr>
        <w:t>5. Срок действия соглашения и прочие условия</w:t>
      </w:r>
    </w:p>
    <w:p>
      <w:pPr>
        <w:pStyle w:val="ListParagraph"/>
        <w:ind w:left="0" w:firstLine="540"/>
        <w:jc w:val="both"/>
        <w:rPr/>
      </w:pPr>
      <w:r>
        <w:rPr/>
        <w:t>5.1. Соглашение вступает в силу со дня его подписания обеими Сторонами и действует в течение срока действия Договора.</w:t>
      </w:r>
    </w:p>
    <w:p>
      <w:pPr>
        <w:pStyle w:val="ListParagraph"/>
        <w:ind w:left="0" w:firstLine="540"/>
        <w:jc w:val="both"/>
        <w:rPr/>
      </w:pPr>
      <w:r>
        <w:rPr/>
        <w:t>5.2. Изменения и дополнения в Соглашение могут быть внесены Сторонами путём подписания дополнительных соглашений, которые вступают в силу с момента подписания обеими Сторонами.</w:t>
      </w:r>
    </w:p>
    <w:p>
      <w:pPr>
        <w:pStyle w:val="ListParagraph"/>
        <w:ind w:left="0" w:firstLine="540"/>
        <w:jc w:val="both"/>
        <w:rPr/>
      </w:pPr>
      <w:r>
        <w:rPr/>
        <w:t>5.3. Соглашение может быть расторгнуто по взаимному соглашению Сторон, а также в одностороннем порядке при условии уведомления Стороны не менее чем за 20 (Двадцать) календарных дней.</w:t>
      </w:r>
    </w:p>
    <w:p>
      <w:pPr>
        <w:pStyle w:val="ListParagraph"/>
        <w:ind w:left="0" w:firstLine="540"/>
        <w:jc w:val="both"/>
        <w:rPr/>
      </w:pPr>
      <w:r>
        <w:rPr/>
        <w:t>Соглашение составлено в двух подлинных экземплярах, имеющих одинаковую юридическую силу, по одному для каждой из Сторон.</w:t>
      </w:r>
    </w:p>
    <w:p>
      <w:pPr>
        <w:pStyle w:val="ListParagraph"/>
        <w:ind w:left="0" w:firstLine="540"/>
        <w:jc w:val="both"/>
        <w:rPr/>
      </w:pPr>
      <w:r>
        <w:rPr/>
      </w:r>
    </w:p>
    <w:p>
      <w:pPr>
        <w:pStyle w:val="ListParagraph"/>
        <w:ind w:left="0" w:hanging="0"/>
        <w:jc w:val="center"/>
        <w:rPr>
          <w:b/>
          <w:b/>
        </w:rPr>
      </w:pPr>
      <w:r>
        <w:rPr>
          <w:b/>
        </w:rPr>
        <w:t>6. Местонахождение, реквизиты и подписи сторон</w:t>
      </w:r>
    </w:p>
    <w:p>
      <w:pPr>
        <w:pStyle w:val="ListParagraph"/>
        <w:ind w:left="0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882" w:type="dxa"/>
        <w:jc w:val="left"/>
        <w:tblInd w:w="45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961"/>
        <w:gridCol w:w="4960"/>
        <w:gridCol w:w="4961"/>
      </w:tblGrid>
      <w:tr>
        <w:trPr/>
        <w:tc>
          <w:tcPr>
            <w:tcW w:w="4961" w:type="dxa"/>
            <w:tcBorders/>
            <w:shd w:color="auto" w:fill="FFFFFF" w:val="clear"/>
          </w:tcPr>
          <w:p>
            <w:pPr>
              <w:pStyle w:val="Style14"/>
              <w:rPr/>
            </w:pPr>
            <w:r>
              <w:rPr/>
              <w:t>Учреждение:</w:t>
            </w:r>
          </w:p>
          <w:p>
            <w:pPr>
              <w:pStyle w:val="Style14"/>
              <w:rPr/>
            </w:pPr>
            <w:r>
              <w:rPr/>
            </w:r>
          </w:p>
        </w:tc>
        <w:tc>
          <w:tcPr>
            <w:tcW w:w="4960" w:type="dxa"/>
            <w:tcBorders/>
            <w:shd w:color="auto" w:fill="auto" w:val="clear"/>
          </w:tcPr>
          <w:p>
            <w:pPr>
              <w:pStyle w:val="Style14"/>
              <w:rPr/>
            </w:pPr>
            <w:r>
              <w:rPr/>
              <w:t>Банк:</w:t>
            </w:r>
          </w:p>
        </w:tc>
        <w:tc>
          <w:tcPr>
            <w:tcW w:w="4961" w:type="dxa"/>
            <w:tcBorders/>
            <w:shd w:color="auto" w:fill="FFFFFF" w:val="clear"/>
          </w:tcPr>
          <w:p>
            <w:pPr>
              <w:pStyle w:val="Style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961" w:type="dxa"/>
            <w:tcBorders/>
            <w:shd w:color="auto" w:fill="FFFFFF" w:val="clear"/>
          </w:tcPr>
          <w:p>
            <w:pPr>
              <w:pStyle w:val="Style14"/>
              <w:rPr>
                <w:b/>
                <w:b/>
              </w:rPr>
            </w:pPr>
            <w:r>
              <w:rPr>
                <w:b/>
              </w:rPr>
              <w:t>ГКУ ТО «ЦИТТО»</w:t>
            </w:r>
          </w:p>
          <w:p>
            <w:pPr>
              <w:pStyle w:val="Style14"/>
              <w:rPr/>
            </w:pPr>
            <w:r>
              <w:rPr/>
              <w:t>625000, г. Тюмень, ул. Советская, д. 61</w:t>
            </w:r>
          </w:p>
          <w:p>
            <w:pPr>
              <w:pStyle w:val="Style14"/>
              <w:rPr/>
            </w:pPr>
            <w:r>
              <w:rPr/>
              <w:t>ИНН/КПП 7202190205/720301001</w:t>
            </w:r>
          </w:p>
          <w:p>
            <w:pPr>
              <w:pStyle w:val="Style14"/>
              <w:rPr/>
            </w:pPr>
            <w:r>
              <w:rPr/>
              <w:t>тел. (3452) 54-30-40</w:t>
            </w:r>
          </w:p>
          <w:p>
            <w:pPr>
              <w:pStyle w:val="Style14"/>
              <w:rPr/>
            </w:pPr>
            <w:bookmarkStart w:id="1" w:name="__DdeLink__204_125523924"/>
            <w:r>
              <w:rPr>
                <w:lang w:val="en-US"/>
              </w:rPr>
              <w:t>e</w:t>
            </w:r>
            <w:r>
              <w:rPr/>
              <w:t>-</w:t>
            </w:r>
            <w:r>
              <w:rPr>
                <w:lang w:val="en-US"/>
              </w:rPr>
              <w:t>mail</w:t>
            </w:r>
            <w:r>
              <w:rPr/>
              <w:t>:</w:t>
            </w:r>
            <w:bookmarkEnd w:id="1"/>
            <w:r>
              <w:rPr/>
              <w:t xml:space="preserve"> </w:t>
            </w:r>
            <w:hyperlink r:id="rId3">
              <w:r>
                <w:rPr>
                  <w:rStyle w:val="Style8"/>
                  <w:lang w:val="en-US"/>
                </w:rPr>
                <w:t>citto</w:t>
              </w:r>
            </w:hyperlink>
            <w:hyperlink r:id="rId4">
              <w:r>
                <w:rPr>
                  <w:rStyle w:val="Style8"/>
                </w:rPr>
                <w:t>@72</w:t>
              </w:r>
            </w:hyperlink>
            <w:hyperlink r:id="rId5">
              <w:r>
                <w:rPr>
                  <w:rStyle w:val="Style8"/>
                  <w:lang w:val="en-US"/>
                </w:rPr>
                <w:t>to</w:t>
              </w:r>
            </w:hyperlink>
            <w:hyperlink r:id="rId6">
              <w:r>
                <w:rPr>
                  <w:rStyle w:val="Style8"/>
                </w:rPr>
                <w:t>.</w:t>
              </w:r>
            </w:hyperlink>
            <w:hyperlink r:id="rId7">
              <w:r>
                <w:rPr>
                  <w:rStyle w:val="Style8"/>
                  <w:lang w:val="en-US"/>
                </w:rPr>
                <w:t>ru</w:t>
              </w:r>
            </w:hyperlink>
          </w:p>
          <w:p>
            <w:pPr>
              <w:pStyle w:val="Style14"/>
              <w:rPr/>
            </w:pPr>
            <w:r>
              <w:rPr/>
            </w:r>
          </w:p>
          <w:p>
            <w:pPr>
              <w:pStyle w:val="Style14"/>
              <w:rPr/>
            </w:pPr>
            <w:r>
              <w:rPr/>
            </w:r>
          </w:p>
          <w:p>
            <w:pPr>
              <w:pStyle w:val="Style14"/>
              <w:rPr/>
            </w:pPr>
            <w:r>
              <w:rPr/>
            </w:r>
          </w:p>
        </w:tc>
        <w:tc>
          <w:tcPr>
            <w:tcW w:w="496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__________________ </w:t>
            </w:r>
            <w:r>
              <w:rPr/>
              <w:t>(наименование)</w:t>
            </w:r>
          </w:p>
          <w:p>
            <w:pPr>
              <w:pStyle w:val="Normal"/>
              <w:rPr/>
            </w:pPr>
            <w:r>
              <w:rPr/>
              <w:t xml:space="preserve">____________________ </w:t>
            </w:r>
            <w:r>
              <w:rPr/>
              <w:t>(адрес)</w:t>
            </w:r>
          </w:p>
          <w:p>
            <w:pPr>
              <w:pStyle w:val="Style14"/>
              <w:rPr/>
            </w:pPr>
            <w:r>
              <w:rPr/>
              <w:t>ИНН/КПП ____________</w:t>
            </w:r>
          </w:p>
          <w:p>
            <w:pPr>
              <w:pStyle w:val="Style14"/>
              <w:rPr/>
            </w:pPr>
            <w:r>
              <w:rPr/>
              <w:t>тел./факс: _______________</w:t>
            </w:r>
          </w:p>
          <w:p>
            <w:pPr>
              <w:pStyle w:val="Style14"/>
              <w:rPr/>
            </w:pPr>
            <w:r>
              <w:rPr>
                <w:lang w:val="en-US"/>
              </w:rPr>
              <w:t>e</w:t>
            </w:r>
            <w:r>
              <w:rPr/>
              <w:t>-</w:t>
            </w:r>
            <w:r>
              <w:rPr>
                <w:lang w:val="en-US"/>
              </w:rPr>
              <w:t>mail</w:t>
            </w:r>
            <w:r>
              <w:rPr/>
              <w:t>: ______________</w:t>
            </w:r>
          </w:p>
        </w:tc>
        <w:tc>
          <w:tcPr>
            <w:tcW w:w="4961" w:type="dxa"/>
            <w:tcBorders/>
            <w:shd w:color="auto" w:fill="FFFFFF" w:val="clear"/>
          </w:tcPr>
          <w:p>
            <w:pPr>
              <w:pStyle w:val="Style14"/>
              <w:rPr/>
            </w:pPr>
            <w:r>
              <w:rPr/>
            </w:r>
          </w:p>
        </w:tc>
      </w:tr>
      <w:tr>
        <w:trPr/>
        <w:tc>
          <w:tcPr>
            <w:tcW w:w="4961" w:type="dxa"/>
            <w:tcBorders/>
            <w:shd w:color="auto" w:fill="FFFFFF" w:val="clear"/>
          </w:tcPr>
          <w:p>
            <w:pPr>
              <w:pStyle w:val="Standard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</w:t>
            </w:r>
          </w:p>
          <w:p>
            <w:pPr>
              <w:pStyle w:val="Standard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ГКУ ТО «ЦИТТО»</w:t>
            </w:r>
          </w:p>
          <w:p>
            <w:pPr>
              <w:pStyle w:val="Style14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Style14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Style14"/>
              <w:rPr/>
            </w:pPr>
            <w:r>
              <w:rPr>
                <w:b/>
              </w:rPr>
              <w:t xml:space="preserve">______________________ </w:t>
            </w:r>
            <w:r>
              <w:rPr>
                <w:b/>
              </w:rPr>
              <w:t xml:space="preserve">А.Р. </w:t>
            </w:r>
            <w:r>
              <w:rPr>
                <w:b/>
              </w:rPr>
              <w:t>Усманов</w:t>
            </w:r>
          </w:p>
        </w:tc>
        <w:tc>
          <w:tcPr>
            <w:tcW w:w="4960" w:type="dxa"/>
            <w:tcBorders/>
            <w:shd w:color="auto" w:fill="auto" w:val="clear"/>
          </w:tcPr>
          <w:p>
            <w:pPr>
              <w:pStyle w:val="Standard"/>
              <w:jc w:val="both"/>
              <w:rPr/>
            </w:pPr>
            <w:r>
              <w:rPr>
                <w:b/>
                <w:sz w:val="22"/>
                <w:szCs w:val="22"/>
              </w:rPr>
              <w:t>___________________</w:t>
            </w:r>
          </w:p>
          <w:p>
            <w:pPr>
              <w:pStyle w:val="Standard"/>
              <w:jc w:val="both"/>
              <w:rPr>
                <w:b/>
                <w:b/>
                <w:sz w:val="22"/>
                <w:szCs w:val="22"/>
              </w:rPr>
            </w:pPr>
            <w:r>
              <w:rPr/>
            </w:r>
          </w:p>
          <w:p>
            <w:pPr>
              <w:pStyle w:val="Standard"/>
              <w:snapToGrid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Standard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2"/>
                <w:szCs w:val="22"/>
              </w:rPr>
              <w:t>_________________________ ____________</w:t>
            </w:r>
          </w:p>
          <w:p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61" w:type="dxa"/>
            <w:tcBorders/>
            <w:shd w:color="auto" w:fill="FFFFFF" w:val="clear"/>
          </w:tcPr>
          <w:p>
            <w:pPr>
              <w:pStyle w:val="Style14"/>
              <w:rPr/>
            </w:pPr>
            <w:r>
              <w:rPr/>
            </w:r>
          </w:p>
        </w:tc>
      </w:tr>
      <w:tr>
        <w:trPr/>
        <w:tc>
          <w:tcPr>
            <w:tcW w:w="4961" w:type="dxa"/>
            <w:tcBorders/>
            <w:shd w:color="auto" w:fill="FFFFFF" w:val="clear"/>
          </w:tcPr>
          <w:p>
            <w:pPr>
              <w:pStyle w:val="Style14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м.п</w:t>
            </w:r>
          </w:p>
        </w:tc>
        <w:tc>
          <w:tcPr>
            <w:tcW w:w="4960" w:type="dxa"/>
            <w:tcBorders/>
            <w:shd w:color="auto" w:fill="auto" w:val="clear"/>
          </w:tcPr>
          <w:p>
            <w:pPr>
              <w:pStyle w:val="Standard"/>
              <w:jc w:val="both"/>
              <w:rPr/>
            </w:pPr>
            <w:r>
              <w:rPr>
                <w:b/>
                <w:sz w:val="22"/>
                <w:szCs w:val="22"/>
              </w:rPr>
              <w:t xml:space="preserve">м.п. </w:t>
            </w:r>
            <w:r>
              <w:rPr>
                <w:b/>
                <w:sz w:val="22"/>
                <w:szCs w:val="22"/>
              </w:rPr>
              <w:t>(при наличии)</w:t>
            </w:r>
          </w:p>
        </w:tc>
        <w:tc>
          <w:tcPr>
            <w:tcW w:w="4961" w:type="dxa"/>
            <w:tcBorders/>
            <w:shd w:color="auto" w:fill="FFFFFF" w:val="clear"/>
          </w:tcPr>
          <w:p>
            <w:pPr>
              <w:pStyle w:val="Style14"/>
              <w:rPr/>
            </w:pPr>
            <w:r>
              <w:rPr/>
            </w:r>
          </w:p>
        </w:tc>
      </w:tr>
    </w:tbl>
    <w:p>
      <w:pPr>
        <w:pStyle w:val="ListParagraph"/>
        <w:ind w:left="0" w:hanging="0"/>
        <w:jc w:val="both"/>
        <w:rPr/>
      </w:pPr>
      <w:r>
        <w:rPr/>
      </w:r>
    </w:p>
    <w:sectPr>
      <w:type w:val="nextPage"/>
      <w:pgSz w:w="11906" w:h="16838"/>
      <w:pgMar w:left="1134" w:right="850" w:header="0" w:top="568" w:footer="0" w:bottom="709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ru-RU" w:eastAsia="ru-RU" w:bidi="ar-SA"/>
    </w:rPr>
  </w:style>
  <w:style w:type="paragraph" w:styleId="1">
    <w:name w:val="Heading 1"/>
    <w:qFormat/>
    <w:pPr>
      <w:keepNext/>
      <w:keepLines/>
      <w:pageBreakBefore/>
      <w:widowControl w:val="false"/>
      <w:spacing w:lineRule="atLeast" w:line="280" w:before="120" w:after="0"/>
      <w:outlineLvl w:val="0"/>
    </w:pPr>
    <w:rPr>
      <w:rFonts w:ascii="Arial" w:hAnsi="Arial" w:cs="Arial" w:eastAsia="Times New Roman"/>
      <w:b/>
      <w:color w:val="auto"/>
      <w:sz w:val="32"/>
      <w:szCs w:val="20"/>
      <w:lang w:val="ru-RU" w:eastAsia="ru-RU" w:bidi="ar-SA"/>
    </w:rPr>
  </w:style>
  <w:style w:type="paragraph" w:styleId="2">
    <w:name w:val="Heading 2"/>
    <w:qFormat/>
    <w:pPr>
      <w:keepNext/>
      <w:keepLines/>
      <w:widowControl w:val="false"/>
      <w:spacing w:lineRule="atLeast" w:line="280" w:before="360" w:after="0"/>
      <w:outlineLvl w:val="1"/>
    </w:pPr>
    <w:rPr>
      <w:rFonts w:ascii="Arial" w:hAnsi="Arial" w:cs="Arial" w:eastAsia="Times New Roman"/>
      <w:b/>
      <w:color w:val="auto"/>
      <w:sz w:val="26"/>
      <w:szCs w:val="20"/>
      <w:lang w:val="ru-RU" w:eastAsia="ru-RU" w:bidi="ar-SA"/>
    </w:rPr>
  </w:style>
  <w:style w:type="paragraph" w:styleId="3">
    <w:name w:val="Heading 3"/>
    <w:qFormat/>
    <w:pPr>
      <w:keepNext/>
      <w:widowControl w:val="false"/>
      <w:spacing w:before="240" w:after="60"/>
      <w:outlineLvl w:val="2"/>
    </w:pPr>
    <w:rPr>
      <w:rFonts w:ascii="Arial" w:hAnsi="Arial" w:cs="Arial" w:eastAsia="Times New Roman"/>
      <w:b/>
      <w:bCs/>
      <w:color w:val="auto"/>
      <w:sz w:val="26"/>
      <w:szCs w:val="26"/>
      <w:lang w:val="ru-RU" w:eastAsia="ru-RU" w:bidi="ar-SA"/>
    </w:rPr>
  </w:style>
  <w:style w:type="paragraph" w:styleId="4">
    <w:name w:val="Heading 4"/>
    <w:qFormat/>
    <w:pPr>
      <w:keepNext/>
      <w:widowControl w:val="false"/>
      <w:spacing w:before="240" w:after="60"/>
      <w:outlineLvl w:val="3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5">
    <w:name w:val="Heading 5"/>
    <w:qFormat/>
    <w:pPr>
      <w:widowControl w:val="false"/>
      <w:spacing w:before="240" w:after="60"/>
      <w:outlineLvl w:val="4"/>
    </w:pPr>
    <w:rPr>
      <w:rFonts w:ascii="Times New Roman" w:hAnsi="Times New Roman" w:eastAsia="Times New Roman" w:cs="Times New Roman"/>
      <w:b/>
      <w:bCs/>
      <w:i/>
      <w:iCs/>
      <w:color w:val="auto"/>
      <w:sz w:val="26"/>
      <w:szCs w:val="26"/>
      <w:lang w:val="ru-RU" w:eastAsia="ru-RU" w:bidi="ar-SA"/>
    </w:rPr>
  </w:style>
  <w:style w:type="paragraph" w:styleId="6">
    <w:name w:val="Heading 6"/>
    <w:qFormat/>
    <w:pPr>
      <w:widowControl w:val="false"/>
      <w:spacing w:before="240" w:after="60"/>
      <w:outlineLvl w:val="5"/>
    </w:pPr>
    <w:rPr>
      <w:rFonts w:ascii="Times New Roman" w:hAnsi="Times New Roman" w:eastAsia="Times New Roman" w:cs="Times New Roman"/>
      <w:b/>
      <w:bCs/>
      <w:color w:val="auto"/>
      <w:sz w:val="22"/>
      <w:szCs w:val="22"/>
      <w:lang w:val="ru-RU" w:eastAsia="ru-RU" w:bidi="ar-SA"/>
    </w:rPr>
  </w:style>
  <w:style w:type="paragraph" w:styleId="7">
    <w:name w:val="Heading 7"/>
    <w:qFormat/>
    <w:pPr>
      <w:widowControl w:val="false"/>
      <w:spacing w:before="240" w:after="60"/>
      <w:outlineLvl w:val="6"/>
    </w:pPr>
    <w:rPr>
      <w:rFonts w:ascii="Times New Roman" w:hAnsi="Times New Roman" w:eastAsia="Times New Roman" w:cs="Times New Roman"/>
      <w:color w:val="auto"/>
      <w:sz w:val="24"/>
      <w:szCs w:val="20"/>
      <w:lang w:val="ru-RU" w:eastAsia="ru-RU" w:bidi="ar-SA"/>
    </w:rPr>
  </w:style>
  <w:style w:type="paragraph" w:styleId="8">
    <w:name w:val="Heading 8"/>
    <w:qFormat/>
    <w:pPr>
      <w:widowControl w:val="false"/>
      <w:spacing w:before="240" w:after="60"/>
      <w:outlineLvl w:val="7"/>
    </w:pPr>
    <w:rPr>
      <w:rFonts w:ascii="Times New Roman" w:hAnsi="Times New Roman" w:eastAsia="Times New Roman" w:cs="Times New Roman"/>
      <w:i/>
      <w:iCs/>
      <w:color w:val="auto"/>
      <w:sz w:val="24"/>
      <w:szCs w:val="20"/>
      <w:lang w:val="ru-RU" w:eastAsia="ru-RU" w:bidi="ar-SA"/>
    </w:rPr>
  </w:style>
  <w:style w:type="paragraph" w:styleId="9">
    <w:name w:val="Heading 9"/>
    <w:qFormat/>
    <w:pPr>
      <w:widowControl w:val="false"/>
      <w:spacing w:before="240" w:after="60"/>
      <w:outlineLvl w:val="8"/>
    </w:pPr>
    <w:rPr>
      <w:rFonts w:ascii="Arial" w:hAnsi="Arial" w:cs="Arial" w:eastAsia="Times New Roman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  <w:b w:val="false"/>
      <w:i w:val="false"/>
      <w:sz w:val="24"/>
    </w:rPr>
  </w:style>
  <w:style w:type="character" w:styleId="WW8Num1z1" w:customStyle="1">
    <w:name w:val="WW8Num1z1"/>
    <w:qFormat/>
    <w:rPr>
      <w:rFonts w:ascii="Times New Roman" w:hAnsi="Times New Roman" w:cs="Times New Roman"/>
      <w:b w:val="false"/>
      <w:i w:val="false"/>
      <w:sz w:val="24"/>
    </w:rPr>
  </w:style>
  <w:style w:type="character" w:styleId="WW8Num1z2" w:customStyle="1">
    <w:name w:val="WW8Num1z2"/>
    <w:qFormat/>
    <w:rPr>
      <w:b w:val="false"/>
      <w:i w:val="false"/>
    </w:rPr>
  </w:style>
  <w:style w:type="character" w:styleId="WW8Num1z3" w:customStyle="1">
    <w:name w:val="WW8Num1z3"/>
    <w:qFormat/>
    <w:rPr>
      <w:color w:val="00000A"/>
    </w:rPr>
  </w:style>
  <w:style w:type="character" w:styleId="WW8Num2z0" w:customStyle="1">
    <w:name w:val="WW8Num2z0"/>
    <w:qFormat/>
    <w:rPr>
      <w:rFonts w:ascii="Times New Roman" w:hAnsi="Times New Roman" w:cs="Times New Roman"/>
      <w:b w:val="false"/>
      <w:i w:val="false"/>
      <w:color w:val="000000"/>
      <w:sz w:val="22"/>
      <w:szCs w:val="22"/>
    </w:rPr>
  </w:style>
  <w:style w:type="character" w:styleId="WW8Num3z0" w:customStyle="1">
    <w:name w:val="WW8Num3z0"/>
    <w:qFormat/>
    <w:rPr>
      <w:rFonts w:ascii="Times New Roman" w:hAnsi="Times New Roman" w:cs="Times New Roman"/>
      <w:b w:val="false"/>
      <w:i w:val="false"/>
      <w:color w:val="000000"/>
      <w:sz w:val="22"/>
      <w:szCs w:val="22"/>
    </w:rPr>
  </w:style>
  <w:style w:type="character" w:styleId="WW8Num4z1" w:customStyle="1">
    <w:name w:val="WW8Num4z1"/>
    <w:qFormat/>
    <w:rPr>
      <w:sz w:val="24"/>
      <w:szCs w:val="24"/>
    </w:rPr>
  </w:style>
  <w:style w:type="character" w:styleId="WW8Num5z0" w:customStyle="1">
    <w:name w:val="WW8Num5z0"/>
    <w:qFormat/>
    <w:rPr>
      <w:rFonts w:ascii="Times New Roman" w:hAnsi="Times New Roman" w:eastAsia="Times New Roman" w:cs="Times New Roman"/>
    </w:rPr>
  </w:style>
  <w:style w:type="character" w:styleId="WW8Num6z0" w:customStyle="1">
    <w:name w:val="WW8Num6z0"/>
    <w:qFormat/>
    <w:rPr>
      <w:b w:val="false"/>
      <w:i w:val="false"/>
      <w:sz w:val="24"/>
    </w:rPr>
  </w:style>
  <w:style w:type="character" w:styleId="WW8Num6z2" w:customStyle="1">
    <w:name w:val="WW8Num6z2"/>
    <w:qFormat/>
    <w:rPr>
      <w:b w:val="false"/>
      <w:i w:val="false"/>
    </w:rPr>
  </w:style>
  <w:style w:type="character" w:styleId="WW8Num6z3" w:customStyle="1">
    <w:name w:val="WW8Num6z3"/>
    <w:qFormat/>
    <w:rPr>
      <w:rFonts w:ascii="Symbol" w:hAnsi="Symbol" w:cs="Symbol"/>
      <w:b w:val="false"/>
      <w:i w:val="false"/>
      <w:sz w:val="24"/>
    </w:rPr>
  </w:style>
  <w:style w:type="character" w:styleId="WW8Num7z0" w:customStyle="1">
    <w:name w:val="WW8Num7z0"/>
    <w:qFormat/>
    <w:rPr>
      <w:color w:val="000000"/>
    </w:rPr>
  </w:style>
  <w:style w:type="character" w:styleId="WW8Num8z0" w:customStyle="1">
    <w:name w:val="WW8Num8z0"/>
    <w:qFormat/>
    <w:rPr>
      <w:rFonts w:ascii="Times New Roman" w:hAnsi="Times New Roman" w:cs="Times New Roman"/>
      <w:b w:val="false"/>
      <w:i w:val="false"/>
      <w:color w:val="00000A"/>
      <w:sz w:val="24"/>
      <w:szCs w:val="24"/>
    </w:rPr>
  </w:style>
  <w:style w:type="character" w:styleId="WW8Num9z0" w:customStyle="1">
    <w:name w:val="WW8Num9z0"/>
    <w:qFormat/>
    <w:rPr>
      <w:b w:val="false"/>
      <w:i w:val="false"/>
      <w:sz w:val="24"/>
    </w:rPr>
  </w:style>
  <w:style w:type="character" w:styleId="WW8Num9z2" w:customStyle="1">
    <w:name w:val="WW8Num9z2"/>
    <w:qFormat/>
    <w:rPr>
      <w:rFonts w:ascii="Symbol" w:hAnsi="Symbol" w:cs="Symbol"/>
      <w:b w:val="false"/>
      <w:i w:val="false"/>
      <w:sz w:val="24"/>
    </w:rPr>
  </w:style>
  <w:style w:type="character" w:styleId="WW8Num9z3" w:customStyle="1">
    <w:name w:val="WW8Num9z3"/>
    <w:qFormat/>
    <w:rPr>
      <w:color w:val="00000A"/>
    </w:rPr>
  </w:style>
  <w:style w:type="character" w:styleId="WW8Num10z0" w:customStyle="1">
    <w:name w:val="WW8Num10z0"/>
    <w:qFormat/>
    <w:rPr>
      <w:rFonts w:ascii="Times New Roman" w:hAnsi="Times New Roman" w:cs="Times New Roman"/>
      <w:b w:val="false"/>
      <w:i w:val="false"/>
      <w:color w:val="000000"/>
      <w:sz w:val="24"/>
      <w:szCs w:val="24"/>
    </w:rPr>
  </w:style>
  <w:style w:type="character" w:styleId="WW8Num12z0" w:customStyle="1">
    <w:name w:val="WW8Num12z0"/>
    <w:qFormat/>
    <w:rPr>
      <w:rFonts w:ascii="Times New Roman" w:hAnsi="Times New Roman" w:cs="Times New Roman"/>
      <w:b w:val="false"/>
      <w:i w:val="false"/>
      <w:color w:val="000000"/>
      <w:sz w:val="24"/>
      <w:szCs w:val="24"/>
    </w:rPr>
  </w:style>
  <w:style w:type="character" w:styleId="WW8Num13z1" w:customStyle="1">
    <w:name w:val="WW8Num13z1"/>
    <w:qFormat/>
    <w:rPr>
      <w:rFonts w:ascii="Symbol" w:hAnsi="Symbol" w:cs="Symbol"/>
    </w:rPr>
  </w:style>
  <w:style w:type="character" w:styleId="WW8Num14z0" w:customStyle="1">
    <w:name w:val="WW8Num14z0"/>
    <w:qFormat/>
    <w:rPr>
      <w:b w:val="false"/>
      <w:i w:val="false"/>
      <w:sz w:val="24"/>
    </w:rPr>
  </w:style>
  <w:style w:type="character" w:styleId="WW8Num14z2" w:customStyle="1">
    <w:name w:val="WW8Num14z2"/>
    <w:qFormat/>
    <w:rPr>
      <w:b w:val="false"/>
      <w:i w:val="false"/>
    </w:rPr>
  </w:style>
  <w:style w:type="character" w:styleId="WW8Num14z3" w:customStyle="1">
    <w:name w:val="WW8Num14z3"/>
    <w:qFormat/>
    <w:rPr>
      <w:color w:val="00000A"/>
    </w:rPr>
  </w:style>
  <w:style w:type="character" w:styleId="11" w:customStyle="1">
    <w:name w:val="Основной шрифт абзаца1"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malltabletextChar" w:customStyle="1">
    <w:name w:val="Small table text Char"/>
    <w:qFormat/>
    <w:rPr>
      <w:sz w:val="18"/>
      <w:lang w:val="ru-RU" w:bidi="ar-SA"/>
    </w:rPr>
  </w:style>
  <w:style w:type="character" w:styleId="Style5" w:customStyle="1">
    <w:name w:val="Символ сноски"/>
    <w:qFormat/>
    <w:rPr>
      <w:vertAlign w:val="superscript"/>
    </w:rPr>
  </w:style>
  <w:style w:type="character" w:styleId="12" w:customStyle="1">
    <w:name w:val="Знак примечания1"/>
    <w:qFormat/>
    <w:rPr>
      <w:sz w:val="16"/>
      <w:szCs w:val="16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6" w:customStyle="1">
    <w:name w:val="Текст примечания Знак"/>
    <w:qFormat/>
    <w:rPr>
      <w:lang w:eastAsia="zh-CN"/>
    </w:rPr>
  </w:style>
  <w:style w:type="character" w:styleId="ListLabel1" w:customStyle="1">
    <w:name w:val="ListLabel 1"/>
    <w:qFormat/>
    <w:rPr>
      <w:sz w:val="20"/>
    </w:rPr>
  </w:style>
  <w:style w:type="character" w:styleId="Style7" w:customStyle="1">
    <w:name w:val="Основной текст с отступом Знак"/>
    <w:basedOn w:val="DefaultParagraphFont"/>
    <w:qFormat/>
    <w:rPr>
      <w:color w:val="00000A"/>
      <w:sz w:val="24"/>
      <w:szCs w:val="24"/>
      <w:lang w:eastAsia="zh-CN"/>
    </w:rPr>
  </w:style>
  <w:style w:type="character" w:styleId="ListLabel25" w:customStyle="1">
    <w:name w:val="ListLabel 25"/>
    <w:qFormat/>
    <w:rPr>
      <w:rFonts w:cs="Times New Roman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Wingdings"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Wingdings"/>
    </w:rPr>
  </w:style>
  <w:style w:type="character" w:styleId="ListLabel31" w:customStyle="1">
    <w:name w:val="ListLabel 31"/>
    <w:qFormat/>
    <w:rPr>
      <w:rFonts w:cs="Symbol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Wingdings"/>
    </w:rPr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 w:customStyle="1">
    <w:name w:val="Заголовок"/>
    <w:basedOn w:val="Standard"/>
    <w:next w:val="Style10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88" w:before="0" w:after="140"/>
    </w:pPr>
    <w:rPr/>
  </w:style>
  <w:style w:type="paragraph" w:styleId="Style11">
    <w:name w:val="List"/>
    <w:basedOn w:val="Textbody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 w:customStyle="1">
    <w:name w:val="Указатель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zh-CN" w:val="ru-RU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Standard"/>
    <w:qFormat/>
    <w:pPr>
      <w:suppressLineNumbers/>
    </w:pPr>
    <w:rPr>
      <w:rFonts w:cs="Mangal"/>
    </w:rPr>
  </w:style>
  <w:style w:type="paragraph" w:styleId="13" w:customStyle="1">
    <w:name w:val="Указатель1"/>
    <w:basedOn w:val="Standard"/>
    <w:qFormat/>
    <w:pPr>
      <w:suppressLineNumbers/>
    </w:pPr>
    <w:rPr>
      <w:rFonts w:cs="Mangal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14" w:customStyle="1">
    <w:name w:val="Основной текст1"/>
    <w:qFormat/>
    <w:pPr>
      <w:widowControl/>
      <w:suppressAutoHyphens w:val="true"/>
      <w:bidi w:val="0"/>
      <w:spacing w:lineRule="exact" w:line="280" w:before="240" w:after="0"/>
      <w:jc w:val="left"/>
    </w:pPr>
    <w:rPr>
      <w:rFonts w:ascii="Times New Roman" w:hAnsi="Times New Roman" w:eastAsia="Times New Roman" w:cs="Times New Roman"/>
      <w:color w:val="00000A"/>
      <w:sz w:val="22"/>
      <w:szCs w:val="20"/>
      <w:lang w:eastAsia="zh-CN" w:val="ru-RU" w:bidi="ar-SA"/>
    </w:rPr>
  </w:style>
  <w:style w:type="paragraph" w:styleId="Bodytextafterheading" w:customStyle="1">
    <w:name w:val="Body text after heading"/>
    <w:basedOn w:val="14"/>
    <w:qFormat/>
    <w:pPr>
      <w:spacing w:before="120" w:after="0"/>
    </w:pPr>
    <w:rPr/>
  </w:style>
  <w:style w:type="paragraph" w:styleId="Bodydescription" w:customStyle="1">
    <w:name w:val="Body description"/>
    <w:basedOn w:val="14"/>
    <w:qFormat/>
    <w:pPr/>
    <w:rPr>
      <w:i/>
      <w:color w:val="0000FF"/>
    </w:rPr>
  </w:style>
  <w:style w:type="paragraph" w:styleId="Tabletext" w:customStyle="1">
    <w:name w:val="Table text"/>
    <w:basedOn w:val="14"/>
    <w:qFormat/>
    <w:pPr>
      <w:spacing w:before="0" w:after="0"/>
    </w:pPr>
    <w:rPr/>
  </w:style>
  <w:style w:type="paragraph" w:styleId="Headinga3" w:customStyle="1">
    <w:name w:val="Heading a3"/>
    <w:basedOn w:val="3"/>
    <w:qFormat/>
    <w:pPr>
      <w:keepLines/>
      <w:tabs>
        <w:tab w:val="left" w:pos="360" w:leader="none"/>
      </w:tabs>
      <w:spacing w:lineRule="atLeast" w:line="280" w:before="360" w:after="0"/>
    </w:pPr>
    <w:rPr>
      <w:sz w:val="22"/>
      <w:szCs w:val="20"/>
    </w:rPr>
  </w:style>
  <w:style w:type="paragraph" w:styleId="Headinga4" w:customStyle="1">
    <w:name w:val="Heading a4"/>
    <w:basedOn w:val="4"/>
    <w:qFormat/>
    <w:pPr>
      <w:keepLines/>
      <w:tabs>
        <w:tab w:val="left" w:pos="360" w:leader="none"/>
      </w:tabs>
      <w:spacing w:lineRule="atLeast" w:line="280" w:before="360" w:after="0"/>
      <w:outlineLvl w:val="1"/>
    </w:pPr>
    <w:rPr>
      <w:rFonts w:ascii="Arial" w:hAnsi="Arial" w:cs="Arial"/>
      <w:sz w:val="22"/>
      <w:szCs w:val="20"/>
    </w:rPr>
  </w:style>
  <w:style w:type="paragraph" w:styleId="Headinga5" w:customStyle="1">
    <w:name w:val="Heading a5"/>
    <w:basedOn w:val="5"/>
    <w:qFormat/>
    <w:pPr>
      <w:keepNext/>
      <w:keepLines/>
      <w:tabs>
        <w:tab w:val="left" w:pos="360" w:leader="none"/>
      </w:tabs>
      <w:spacing w:lineRule="atLeast" w:line="280" w:before="360" w:after="0"/>
    </w:pPr>
    <w:rPr>
      <w:rFonts w:ascii="Arial" w:hAnsi="Arial" w:cs="Arial"/>
      <w:i w:val="false"/>
      <w:iCs w:val="false"/>
      <w:sz w:val="22"/>
      <w:szCs w:val="20"/>
    </w:rPr>
  </w:style>
  <w:style w:type="paragraph" w:styleId="Headinga6" w:customStyle="1">
    <w:name w:val="Heading a6"/>
    <w:basedOn w:val="6"/>
    <w:qFormat/>
    <w:pPr>
      <w:keepNext/>
      <w:keepLines/>
      <w:tabs>
        <w:tab w:val="left" w:pos="360" w:leader="none"/>
      </w:tabs>
      <w:spacing w:lineRule="atLeast" w:line="280" w:before="360" w:after="0"/>
      <w:outlineLvl w:val="3"/>
    </w:pPr>
    <w:rPr>
      <w:rFonts w:ascii="Arial" w:hAnsi="Arial" w:cs="Arial"/>
      <w:szCs w:val="20"/>
    </w:rPr>
  </w:style>
  <w:style w:type="paragraph" w:styleId="Headinga7" w:customStyle="1">
    <w:name w:val="Heading a7"/>
    <w:basedOn w:val="7"/>
    <w:qFormat/>
    <w:pPr>
      <w:keepNext/>
      <w:keepLines/>
      <w:tabs>
        <w:tab w:val="left" w:pos="360" w:leader="none"/>
      </w:tabs>
      <w:spacing w:lineRule="atLeast" w:line="280" w:before="360" w:after="0"/>
      <w:outlineLvl w:val="4"/>
    </w:pPr>
    <w:rPr>
      <w:rFonts w:ascii="Arial" w:hAnsi="Arial" w:cs="Arial"/>
      <w:b/>
      <w:bCs/>
      <w:sz w:val="22"/>
      <w:szCs w:val="20"/>
    </w:rPr>
  </w:style>
  <w:style w:type="paragraph" w:styleId="Headinga8" w:customStyle="1">
    <w:name w:val="Heading a8"/>
    <w:basedOn w:val="8"/>
    <w:qFormat/>
    <w:pPr>
      <w:keepNext/>
      <w:keepLines/>
      <w:tabs>
        <w:tab w:val="left" w:pos="360" w:leader="none"/>
      </w:tabs>
      <w:spacing w:lineRule="atLeast" w:line="280" w:before="360" w:after="0"/>
      <w:outlineLvl w:val="5"/>
    </w:pPr>
    <w:rPr>
      <w:rFonts w:ascii="Arial" w:hAnsi="Arial" w:cs="Arial"/>
      <w:b/>
      <w:bCs/>
      <w:i w:val="false"/>
      <w:iCs w:val="false"/>
      <w:sz w:val="22"/>
      <w:szCs w:val="20"/>
    </w:rPr>
  </w:style>
  <w:style w:type="paragraph" w:styleId="Headinga9" w:customStyle="1">
    <w:name w:val="Heading a9"/>
    <w:basedOn w:val="9"/>
    <w:qFormat/>
    <w:pPr>
      <w:keepNext/>
      <w:keepLines/>
      <w:tabs>
        <w:tab w:val="left" w:pos="360" w:leader="none"/>
      </w:tabs>
      <w:spacing w:lineRule="atLeast" w:line="280" w:before="360" w:after="0"/>
      <w:outlineLvl w:val="6"/>
    </w:pPr>
    <w:rPr>
      <w:b/>
      <w:bCs/>
      <w:szCs w:val="20"/>
    </w:rPr>
  </w:style>
  <w:style w:type="paragraph" w:styleId="Listbulleted" w:customStyle="1">
    <w:name w:val="List bulleted"/>
    <w:basedOn w:val="14"/>
    <w:qFormat/>
    <w:pPr>
      <w:outlineLvl w:val="8"/>
    </w:pPr>
    <w:rPr/>
  </w:style>
  <w:style w:type="paragraph" w:styleId="Tableheader" w:customStyle="1">
    <w:name w:val="Table header"/>
    <w:basedOn w:val="Tabletext"/>
    <w:qFormat/>
    <w:pPr>
      <w:keepNext/>
    </w:pPr>
    <w:rPr>
      <w:rFonts w:ascii="Arial" w:hAnsi="Arial" w:cs="Arial"/>
      <w:b/>
      <w:sz w:val="18"/>
    </w:rPr>
  </w:style>
  <w:style w:type="paragraph" w:styleId="Smalltabletext" w:customStyle="1">
    <w:name w:val="Small table text"/>
    <w:basedOn w:val="14"/>
    <w:qFormat/>
    <w:pPr>
      <w:spacing w:lineRule="auto" w:line="240" w:before="0" w:after="0"/>
    </w:pPr>
    <w:rPr>
      <w:sz w:val="18"/>
    </w:rPr>
  </w:style>
  <w:style w:type="paragraph" w:styleId="Listbulleteda" w:customStyle="1">
    <w:name w:val="List bulleted a"/>
    <w:basedOn w:val="Listbulleted"/>
    <w:qFormat/>
    <w:pPr>
      <w:spacing w:before="0" w:after="0"/>
    </w:pPr>
    <w:rPr/>
  </w:style>
  <w:style w:type="paragraph" w:styleId="Footnotetext">
    <w:name w:val="footnote text"/>
    <w:basedOn w:val="14"/>
    <w:qFormat/>
    <w:pPr>
      <w:spacing w:lineRule="auto" w:line="240" w:before="40" w:after="80"/>
    </w:pPr>
    <w:rPr>
      <w:sz w:val="18"/>
    </w:rPr>
  </w:style>
  <w:style w:type="paragraph" w:styleId="41" w:customStyle="1">
    <w:name w:val="Указатель 41"/>
    <w:basedOn w:val="Standard"/>
    <w:qFormat/>
    <w:pPr>
      <w:spacing w:before="0" w:after="40"/>
      <w:ind w:left="72" w:hanging="72"/>
    </w:pPr>
    <w:rPr>
      <w:rFonts w:ascii="Arial" w:hAnsi="Arial" w:cs="Arial"/>
      <w:b/>
      <w:sz w:val="20"/>
    </w:rPr>
  </w:style>
  <w:style w:type="paragraph" w:styleId="Tabletext1" w:customStyle="1">
    <w:name w:val="tabletext"/>
    <w:basedOn w:val="Standard"/>
    <w:qFormat/>
    <w:pPr>
      <w:spacing w:lineRule="atLeast" w:line="280"/>
    </w:pPr>
    <w:rPr>
      <w:sz w:val="22"/>
      <w:szCs w:val="22"/>
    </w:rPr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15" w:customStyle="1">
    <w:name w:val="Текст примечания1"/>
    <w:basedOn w:val="Standard"/>
    <w:qFormat/>
    <w:pPr/>
    <w:rPr>
      <w:sz w:val="20"/>
      <w:szCs w:val="20"/>
    </w:rPr>
  </w:style>
  <w:style w:type="paragraph" w:styleId="Annotationsubject">
    <w:name w:val="annotation subject"/>
    <w:basedOn w:val="15"/>
    <w:qFormat/>
    <w:pPr/>
    <w:rPr>
      <w:b/>
      <w:bCs/>
    </w:rPr>
  </w:style>
  <w:style w:type="paragraph" w:styleId="Style14" w:customStyle="1">
    <w:name w:val="Содержимое таблицы"/>
    <w:basedOn w:val="Normal"/>
    <w:qFormat/>
    <w:pPr>
      <w:widowControl/>
      <w:suppressLineNumbers/>
      <w:textAlignment w:val="auto"/>
    </w:pPr>
    <w:rPr>
      <w:color w:val="00000A"/>
      <w:szCs w:val="24"/>
      <w:lang w:eastAsia="zh-CN"/>
    </w:rPr>
  </w:style>
  <w:style w:type="paragraph" w:styleId="Style15" w:customStyle="1">
    <w:name w:val="Заголовок таблицы"/>
    <w:basedOn w:val="Style14"/>
    <w:qFormat/>
    <w:pPr>
      <w:jc w:val="center"/>
    </w:pPr>
    <w:rPr>
      <w:b/>
      <w:bCs/>
    </w:rPr>
  </w:style>
  <w:style w:type="paragraph" w:styleId="ConsPlusNormal" w:customStyle="1">
    <w:name w:val="ConsPlusNormal"/>
    <w:qFormat/>
    <w:pPr>
      <w:widowControl/>
      <w:suppressAutoHyphens w:val="true"/>
      <w:bidi w:val="0"/>
      <w:ind w:firstLine="720"/>
      <w:jc w:val="left"/>
    </w:pPr>
    <w:rPr>
      <w:rFonts w:ascii="Arial" w:hAnsi="Arial" w:cs="Arial" w:eastAsia="Times New Roman"/>
      <w:color w:val="00000A"/>
      <w:sz w:val="24"/>
      <w:szCs w:val="20"/>
      <w:lang w:val="ru-RU" w:eastAsia="ru-RU" w:bidi="ar-SA"/>
    </w:rPr>
  </w:style>
  <w:style w:type="paragraph" w:styleId="Annotationtext">
    <w:name w:val="annotation text"/>
    <w:basedOn w:val="Standard"/>
    <w:qFormat/>
    <w:pPr/>
    <w:rPr>
      <w:sz w:val="20"/>
      <w:szCs w:val="20"/>
    </w:rPr>
  </w:style>
  <w:style w:type="paragraph" w:styleId="Revision">
    <w:name w:val="Revision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zh-CN" w:val="ru-RU" w:bidi="ar-SA"/>
    </w:rPr>
  </w:style>
  <w:style w:type="paragraph" w:styleId="Textbodyindent" w:customStyle="1">
    <w:name w:val="Text body indent"/>
    <w:basedOn w:val="Standard"/>
    <w:qFormat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Нет списка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latonovIV@72to.ru" TargetMode="External"/><Relationship Id="rId3" Type="http://schemas.openxmlformats.org/officeDocument/2006/relationships/hyperlink" Target="mailto:citto@72to.ru" TargetMode="External"/><Relationship Id="rId4" Type="http://schemas.openxmlformats.org/officeDocument/2006/relationships/hyperlink" Target="mailto:citto@72to.ru" TargetMode="External"/><Relationship Id="rId5" Type="http://schemas.openxmlformats.org/officeDocument/2006/relationships/hyperlink" Target="mailto:citto@72to.ru" TargetMode="External"/><Relationship Id="rId6" Type="http://schemas.openxmlformats.org/officeDocument/2006/relationships/hyperlink" Target="mailto:citto@72to.ru" TargetMode="External"/><Relationship Id="rId7" Type="http://schemas.openxmlformats.org/officeDocument/2006/relationships/hyperlink" Target="mailto:citto@72to.ru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LibreOffice/5.2.3.3$Windows_X86_64 LibreOffice_project/d54a8868f08a7b39642414cf2c8ef2f228f780cf</Application>
  <Pages>3</Pages>
  <Words>1020</Words>
  <Characters>8019</Characters>
  <CharactersWithSpaces>9025</CharactersWithSpaces>
  <Paragraphs>77</Paragraphs>
  <Company>"Запсибкомбанк" ОАО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2017-02-02T11:38:00Z</dcterms:created>
  <dc:creator>panchenko_nm</dc:creator>
  <dc:description/>
  <dc:language>ru-RU</dc:language>
  <cp:lastModifiedBy>Наталья Михайловна Панченко</cp:lastModifiedBy>
  <cp:lastPrinted>2017-01-27T07:15:00Z</cp:lastPrinted>
  <dcterms:modified xsi:type="dcterms:W3CDTF">2017-03-13T09:54:23Z</dcterms:modified>
  <cp:revision>4</cp:revision>
  <dc:subject/>
  <dc:title>Совместный приказ ДЗТО и ДЗ 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"Запсибкомбанк" ОАО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