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20" w:type="dxa"/>
        <w:jc w:val="righ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20"/>
      </w:tblGrid>
      <w:tr>
        <w:trPr>
          <w:trHeight w:val="1500" w:hRule="atLeast"/>
        </w:trPr>
        <w:tc>
          <w:tcPr>
            <w:tcW w:w="10020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sz w:val="28"/>
          <w:szCs w:val="28"/>
        </w:rPr>
        <w:t>еханизм «Массовое внесение отказов»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5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/>
      </w:r>
      <w:bookmarkStart w:id="0" w:name="_Toc98836831"/>
      <w:bookmarkStart w:id="1" w:name="_Toc98836830"/>
      <w:bookmarkStart w:id="2" w:name="_Toc98836831"/>
      <w:bookmarkStart w:id="3" w:name="_Toc98836830"/>
      <w:bookmarkEnd w:id="3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Пользовательская инструкция</w:t>
      </w:r>
      <w:bookmarkEnd w:id="2"/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Обработка «Массовое внесение отказов» расположена в подсистеме «Иммунопрофилактика» и предназначена для формирования отказов у нескольких пациентов одновременно и записи данных об отказах индивидуально в «Иммунопрофилактику пациента».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«Иммунопрофилактика» открываем обработку «Массовое внесение отказов» и заполняем шапку (рис.1):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поле «Организация» заполняется автоматически, с возможностью редактирования и имеет возможность выбора только одного значения из справочника «Направившая организация»;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поле «Врач» заполняется автоматически, с возможностью редактирования и имеет возможность выбора только одного значения из выпадающего списка на основании «Настройка контроля исполнения» - «Сотрудники пользователя»;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поле «Специальность» заполняется автоматически на основании данных пользователя без возможности редактирования;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 поля «Дата начала» и «Дата окончания» необходимы для установления периода отказа от прививки;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поле «Список прививок» имеет возможность выбора нескольких значений из номенклатуры планового календаря прививок.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/>
      </w:pPr>
      <w:r>
        <w:rPr/>
        <w:drawing>
          <wp:inline distT="0" distB="0" distL="0" distR="0">
            <wp:extent cx="6392545" cy="19335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19335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Рис.1 Обработка «Массовое внесение отказов»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 этого добавляем пациентов. Пациентов можно добавить двумя способами: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- через кнопку «Добавить» - осуществляется добавление строк через кнопку «Добавить», и поиск и выбор пациентов вручную;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- через кнопку «Загрузить из файла» - осуществляется через выгрузку списка пациентов из файла </w:t>
      </w:r>
      <w:r>
        <w:rPr>
          <w:sz w:val="24"/>
          <w:lang w:val="en-US"/>
        </w:rPr>
        <w:t>Excel</w:t>
      </w:r>
      <w:r>
        <w:rPr>
          <w:sz w:val="24"/>
        </w:rPr>
        <w:t>.После выгрузки данных появляется уведомление о количестве добавленных пациентов из файла.При условии, если в системе не обнаружены данные о пациенте из файла (ФИО и дата рождения), появляется сообщение соследующей информацией:№</w:t>
      </w:r>
      <w:r>
        <w:rPr>
          <w:i/>
          <w:sz w:val="24"/>
        </w:rPr>
        <w:t xml:space="preserve"> строки в файле</w:t>
      </w:r>
      <w:r>
        <w:rPr>
          <w:sz w:val="24"/>
        </w:rPr>
        <w:t xml:space="preserve"> – пациент </w:t>
      </w:r>
      <w:r>
        <w:rPr>
          <w:i/>
          <w:sz w:val="24"/>
        </w:rPr>
        <w:t>ФИО, дата рождения</w:t>
      </w:r>
      <w:r>
        <w:rPr>
          <w:sz w:val="24"/>
        </w:rPr>
        <w:t xml:space="preserve"> не найден (рис. 2).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86830" cy="40862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40862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Рис.2 Добавление пациентов через выгрузку файла в обработке «Массовое внесение отказов»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Заполняем форму и нажимаем «Применить». Красным подсвечиваются поля, которым требуется корректировка и прописывается комментарий, где необходимы изменения: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Указан один и тот же пациент с идентичными данными (рис. 3);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1838325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383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Рис.3  Заполненная обработка «Массовое внесение отказов» с учетом требуемой корректировки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Указан один и тот же пациент с одинаковой прививкой, но разным периодом (рис. 4).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277241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77241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Рис.4 Заполненная обработка «Массовое внесение отказов» с учетом требуемой корректировки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 корректировок нажимаем «Записать».В результате,строки в табличной части стали серыми и недоступны для редактирования, только для удаления (рис. 5) (на запись документа «Регистрация медицинского отвода/отказа от прививки» это никак не влияет), а также, у пациентов, у кого календарь плановых прививок отсутствует, при записи обработки: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1. календарь автоматически формируется и пересчитывается (с учетом периода отказа);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2. появляется отказ в вкладке «Отказы» у пациента.</w:t>
      </w:r>
    </w:p>
    <w:p>
      <w:pPr>
        <w:pStyle w:val="Style24"/>
        <w:tabs>
          <w:tab w:val="clear" w:pos="708"/>
          <w:tab w:val="left" w:pos="284" w:leader="none"/>
        </w:tabs>
        <w:ind w:hanging="0"/>
        <w:rPr>
          <w:sz w:val="24"/>
        </w:rPr>
      </w:pPr>
      <w:r>
        <w:rPr/>
        <w:drawing>
          <wp:inline distT="0" distB="0" distL="0" distR="0">
            <wp:extent cx="6390005" cy="2324100"/>
            <wp:effectExtent l="0" t="0" r="0" b="0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241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5 Запись обработки «Массовое внесение отказов»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Всё это можно увидеть в форме «Иммунопрофилактика: пациент» (рис. 6), для этого выделяем пациента и нажимаем на «Иммунопрофилактика». Пересчет, с учетом отказа, произведен корректно.</w:t>
      </w:r>
    </w:p>
    <w:p>
      <w:pPr>
        <w:pStyle w:val="Style24"/>
        <w:tabs>
          <w:tab w:val="clear" w:pos="708"/>
          <w:tab w:val="left" w:pos="284" w:leader="none"/>
        </w:tabs>
        <w:ind w:hanging="0"/>
        <w:rPr>
          <w:sz w:val="24"/>
        </w:rPr>
      </w:pPr>
      <w:r>
        <w:rPr/>
        <w:drawing>
          <wp:inline distT="0" distB="0" distL="0" distR="0">
            <wp:extent cx="6386830" cy="5162550"/>
            <wp:effectExtent l="0" t="0" r="0" b="0"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51625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  <w:tab w:val="left" w:pos="6379" w:leader="none"/>
        </w:tabs>
        <w:spacing w:before="120" w:after="12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6 Форма «Иммунопрофилактика:пациент»</w:t>
      </w:r>
    </w:p>
    <w:sectPr>
      <w:footerReference w:type="default" r:id="rId8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c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94B1-8C0F-4414-8668-C5F8DE7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Application>LibreOffice/7.6.4.1$Windows_X86_64 LibreOffice_project/e19e193f88cd6c0525a17fb7a176ed8e6a3e2aa1</Application>
  <AppVersion>15.0000</AppVersion>
  <Pages>5</Pages>
  <Words>405</Words>
  <Characters>2817</Characters>
  <CharactersWithSpaces>3194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Вунш Оксана Сергеевна</dc:creator>
  <dc:description/>
  <dc:language>ru-RU</dc:language>
  <cp:lastModifiedBy>Мария  Степанова</cp:lastModifiedBy>
  <dcterms:modified xsi:type="dcterms:W3CDTF">2025-03-21T14:27:18Z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