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10.png" ContentType="image/png"/>
  <Override PartName="/word/media/image5.png" ContentType="image/png"/>
  <Override PartName="/word/media/image11.png" ContentType="image/png"/>
  <Override PartName="/word/media/image6.png" ContentType="image/png"/>
  <Override PartName="/word/media/image7.png" ContentType="image/png"/>
  <Override PartName="/word/media/image12.png" ContentType="image/png"/>
  <Override PartName="/word/media/image8.png" ContentType="image/png"/>
  <Override PartName="/word/media/image13.png" ContentType="image/png"/>
  <Override PartName="/word/media/image9.png" ContentType="image/png"/>
  <Override PartName="/word/media/image1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b/>
          <w:i/>
          <w:i/>
        </w:rPr>
      </w:pPr>
      <w:r>
        <w:rPr>
          <w:rFonts w:eastAsia="Times New Roman" w:cs="Times New Roman" w:ascii="Times New Roman" w:hAnsi="Times New Roman"/>
          <w:b/>
          <w:i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10067" w:type="dxa"/>
        <w:jc w:val="left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067"/>
      </w:tblGrid>
      <w:tr>
        <w:trPr>
          <w:trHeight w:val="1500" w:hRule="atLeast"/>
        </w:trPr>
        <w:tc>
          <w:tcPr>
            <w:tcW w:w="10067" w:type="dxa"/>
            <w:tcBorders/>
            <w:vAlign w:val="bottom"/>
          </w:tcPr>
          <w:p>
            <w:pPr>
              <w:pStyle w:val="Normal"/>
              <w:spacing w:lineRule="auto" w:line="288" w:before="60" w:after="60"/>
              <w:ind w:hanging="40" w:left="220" w:right="6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>
            <w:pPr>
              <w:pStyle w:val="Normal"/>
              <w:ind w:left="1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ind w:left="-28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/>
      </w:r>
    </w:p>
    <w:p>
      <w:pPr>
        <w:pStyle w:val="12"/>
        <w:keepNext w:val="true"/>
        <w:spacing w:before="0" w:after="12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</w:r>
    </w:p>
    <w:p>
      <w:pPr>
        <w:pStyle w:val="12"/>
        <w:keepNext w:val="true"/>
        <w:spacing w:before="0" w:after="12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ПОЛЬЗОВАТЕЛЬСКАЯ ИНСТРУКЦИЯ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Задача: Автоматическое перепланирование прививок для индивидуального календаря прививок при внесении информации в «Иммунопрофилактике» пациента</w:t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 10 листах</w:t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г. Тюмень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2024 г.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/>
      </w:r>
      <w:bookmarkStart w:id="0" w:name="_Toc98836831"/>
      <w:bookmarkStart w:id="1" w:name="_Toc98836830"/>
      <w:bookmarkStart w:id="2" w:name="_Toc98836831"/>
      <w:bookmarkStart w:id="3" w:name="_Toc98836830"/>
      <w:bookmarkEnd w:id="3"/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b/>
          <w:szCs w:val="28"/>
        </w:rPr>
      </w:pPr>
      <w:bookmarkStart w:id="4" w:name="_Toc98836831"/>
      <w:r>
        <w:rPr>
          <w:b/>
          <w:szCs w:val="28"/>
        </w:rPr>
        <w:t>Пользовательская инструкция</w:t>
      </w:r>
      <w:bookmarkEnd w:id="4"/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b/>
          <w:sz w:val="24"/>
        </w:rPr>
      </w:pPr>
      <w:r>
        <w:rPr>
          <w:b/>
          <w:sz w:val="24"/>
        </w:rPr>
        <w:t>Кнопка «Архив»</w:t>
      </w:r>
    </w:p>
    <w:p>
      <w:pPr>
        <w:pStyle w:val="Style24"/>
        <w:tabs>
          <w:tab w:val="clear" w:pos="708"/>
          <w:tab w:val="left" w:pos="284" w:leader="none"/>
        </w:tabs>
        <w:rPr>
          <w:sz w:val="24"/>
        </w:rPr>
      </w:pPr>
      <w:r>
        <w:rPr>
          <w:sz w:val="24"/>
        </w:rPr>
        <w:t>Через «Контроль исполнения» переходим в «АРМ Врача Поликлиника» - «Поиск пациента», если:</w:t>
      </w:r>
    </w:p>
    <w:p>
      <w:pPr>
        <w:pStyle w:val="Style24"/>
        <w:tabs>
          <w:tab w:val="clear" w:pos="708"/>
          <w:tab w:val="left" w:pos="284" w:leader="none"/>
        </w:tabs>
        <w:rPr>
          <w:sz w:val="24"/>
        </w:rPr>
      </w:pPr>
      <w:r>
        <w:rPr>
          <w:sz w:val="24"/>
        </w:rPr>
        <w:t>- добавляем пациента старше 18 лет, то в «Иммунопрофилактике» у пациента появится новая кнопка «Архив» и при нажатии «Сформировать календарь», в результате сформировался календарь плановых прививок от текущего года.</w:t>
      </w:r>
    </w:p>
    <w:p>
      <w:pPr>
        <w:pStyle w:val="Style24"/>
        <w:tabs>
          <w:tab w:val="clear" w:pos="708"/>
          <w:tab w:val="left" w:pos="284" w:leader="none"/>
        </w:tabs>
        <w:ind w:hanging="0"/>
        <w:jc w:val="center"/>
        <w:rPr>
          <w:sz w:val="24"/>
        </w:rPr>
      </w:pPr>
      <w:r>
        <w:rPr/>
        <w:drawing>
          <wp:inline distT="0" distB="0" distL="0" distR="0">
            <wp:extent cx="6286500" cy="3876675"/>
            <wp:effectExtent l="0" t="0" r="0" b="0"/>
            <wp:docPr id="1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876675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ind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1 «Иммунопрофилактика пациента»</w:t>
      </w:r>
    </w:p>
    <w:p>
      <w:pPr>
        <w:pStyle w:val="Style24"/>
        <w:tabs>
          <w:tab w:val="clear" w:pos="708"/>
          <w:tab w:val="left" w:pos="284" w:leader="none"/>
        </w:tabs>
        <w:rPr>
          <w:sz w:val="24"/>
        </w:rPr>
      </w:pPr>
      <w:r>
        <w:rPr>
          <w:sz w:val="24"/>
        </w:rPr>
        <w:t>При нажатии кнопки «Архив», скрытые прошлые прививки до текущего года отобразятся в индивидуальном календаре. В результате, в форме «Иммунопрофилактика» у пациента отображается весь перечень плановых прививок (рис. 2).</w:t>
      </w:r>
    </w:p>
    <w:p>
      <w:pPr>
        <w:pStyle w:val="Style24"/>
        <w:tabs>
          <w:tab w:val="clear" w:pos="708"/>
          <w:tab w:val="left" w:pos="284" w:leader="none"/>
        </w:tabs>
        <w:ind w:hanging="0"/>
        <w:jc w:val="center"/>
        <w:rPr>
          <w:sz w:val="24"/>
        </w:rPr>
      </w:pPr>
      <w:r>
        <w:rPr/>
        <w:drawing>
          <wp:inline distT="0" distB="0" distL="0" distR="0">
            <wp:extent cx="6391275" cy="3295650"/>
            <wp:effectExtent l="0" t="0" r="0" b="0"/>
            <wp:docPr id="2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29565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ind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2 Кнопка «Архив» для визуализации истории прививок</w:t>
      </w:r>
    </w:p>
    <w:p>
      <w:pPr>
        <w:pStyle w:val="Style24"/>
        <w:tabs>
          <w:tab w:val="clear" w:pos="708"/>
          <w:tab w:val="left" w:pos="284" w:leader="none"/>
        </w:tabs>
        <w:rPr>
          <w:sz w:val="24"/>
        </w:rPr>
      </w:pPr>
      <w:r>
        <w:rPr>
          <w:sz w:val="24"/>
        </w:rPr>
        <w:t>При повторном нажатии на кнопку «Архив», прошлые прививки до текущего года будут скрыты, за исключением прививок имеющие фактическую дату выполнения (рис. 1).</w:t>
      </w:r>
    </w:p>
    <w:p>
      <w:pPr>
        <w:pStyle w:val="Style24"/>
        <w:tabs>
          <w:tab w:val="clear" w:pos="708"/>
          <w:tab w:val="left" w:pos="284" w:leader="none"/>
        </w:tabs>
        <w:rPr>
          <w:sz w:val="24"/>
        </w:rPr>
      </w:pPr>
      <w:r>
        <w:rPr>
          <w:sz w:val="24"/>
        </w:rPr>
        <w:t>- добавляем пациентов младше 18 лет, то в «Иммунопрофилактике» пациента кнопка «Архив» отсутствует и при нажатии «Сформировать календарь», в результате в календаре указаны все плановые прививки (рис.3).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sz w:val="24"/>
        </w:rPr>
      </w:pPr>
      <w:r>
        <w:rPr/>
        <w:drawing>
          <wp:inline distT="0" distB="0" distL="0" distR="0">
            <wp:extent cx="6391275" cy="3409950"/>
            <wp:effectExtent l="0" t="0" r="0" b="0"/>
            <wp:docPr id="3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40995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ind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3 Кнопка «Архив» отсутствует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b/>
          <w:sz w:val="24"/>
        </w:rPr>
      </w:pPr>
      <w:r>
        <w:rPr>
          <w:b/>
          <w:sz w:val="24"/>
        </w:rPr>
        <w:t>Пересчет дат плановых прививок при фактически проведенной прививки через «Ввод данных по прививке»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Пересчет дат плановых прививок рассмотрим на примере пациента старше 18 лет и прививкой «Профилактика гриппа», вакцинация 3.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Через «Контроль исполнения» переходим в «АРМ Врача Поликлиника» - «Поиск пациента» добавляем пациента старше 18 лет и переходим в «Иммунопрофилактик» пациента и нажимаем «Сформировать календарь».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 xml:space="preserve">Выбираем прививку «Профилактика гриппа», вакцинация 3, и нажимаем «Ввести реакцию». Открывается форма «Ввод данных по прививке», заполняем ее, а после нажимаем «Записать и закрыть» (рис. 4). 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jc w:val="center"/>
        <w:rPr>
          <w:sz w:val="24"/>
        </w:rPr>
      </w:pPr>
      <w:r>
        <w:rPr/>
        <w:drawing>
          <wp:inline distT="0" distB="0" distL="0" distR="0">
            <wp:extent cx="3524250" cy="6381750"/>
            <wp:effectExtent l="0" t="0" r="0" b="0"/>
            <wp:docPr id="4" name="Рисунок 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38175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4 Форма «Ввод данных о прививке»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В результате, в «Иммунопрофилактике» пациента, напротив прививки «Профилактика гриппа», вакцинация 3, плановая дата стала зеленой и рядом появилась фактическая дата и данные о прививке построчно (рис. 5). Пересчет последующих плановых прививок произошел корректно.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sz w:val="24"/>
        </w:rPr>
      </w:pPr>
      <w:r>
        <w:rPr/>
        <w:drawing>
          <wp:inline distT="0" distB="0" distL="0" distR="0">
            <wp:extent cx="6390005" cy="3677920"/>
            <wp:effectExtent l="0" t="0" r="0" b="0"/>
            <wp:docPr id="5" name="Рисунок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9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67792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ind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5«Иммунопрофилактика пациента» с фактической датой прививки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b/>
          <w:sz w:val="24"/>
        </w:rPr>
      </w:pPr>
      <w:r>
        <w:rPr>
          <w:b/>
          <w:sz w:val="24"/>
        </w:rPr>
        <w:t>Пересчет дат плановых прививок при фактически проведенной прививки через «Отражение факта выставления прививки» и «Отражение факта выставления пробы на туберкулез»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Пересчет дат плановых прививок рассмотрим на примере пациента старше 18 лет и прививкой «Профилактика гриппа», вакцинация 6.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Через «Контроль исполнения» переходим в «АРМ Врача Поликлиника» - «Поиск пациента» добавляем пациента старше 18 лет и переходим в «Иммунопрофилактику» пациента. Выбираем прививку «Профилактика гриппа», вакцинация 6, и нажимаем «Назначить».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sz w:val="24"/>
          <w:lang w:val="en-US"/>
        </w:rPr>
      </w:pPr>
      <w:r>
        <w:rPr/>
        <w:drawing>
          <wp:inline distT="0" distB="0" distL="0" distR="0">
            <wp:extent cx="6390005" cy="2028825"/>
            <wp:effectExtent l="0" t="0" r="0" b="0"/>
            <wp:docPr id="6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28825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ind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6 «Сменное задание»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Переходим в «Сменное задание», выбираем пациента и прививку «Профилактика гриппа», вакцинация 6, и нажимаем «Формирование медицинского документа» (рис. 6). Открывается форма «Отражение факта выставления прививки», заполняем ее, а после нажимаем «Документ готов» и подписываем (рис. 7). В Результате, автоматически открылась печатная форма медицинского документа «Отражение факта выставления прививки» (рис. 8).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sz w:val="24"/>
          <w:lang w:bidi="ar-SA"/>
        </w:rPr>
      </w:pPr>
      <w:r>
        <w:rPr/>
        <w:drawing>
          <wp:inline distT="0" distB="0" distL="0" distR="0">
            <wp:extent cx="6390005" cy="3676650"/>
            <wp:effectExtent l="0" t="0" r="0" b="0"/>
            <wp:docPr id="7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67665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7ШМД «Отражение факта выставления прививки»</w:t>
      </w:r>
    </w:p>
    <w:p>
      <w:pPr>
        <w:pStyle w:val="Style24"/>
        <w:tabs>
          <w:tab w:val="clear" w:pos="708"/>
          <w:tab w:val="left" w:pos="284" w:leader="none"/>
        </w:tabs>
        <w:ind w:hanging="0"/>
        <w:jc w:val="center"/>
        <w:rPr>
          <w:i/>
          <w:i/>
          <w:sz w:val="20"/>
          <w:szCs w:val="20"/>
        </w:rPr>
      </w:pPr>
      <w:r>
        <w:rPr/>
        <w:drawing>
          <wp:inline distT="0" distB="0" distL="0" distR="0">
            <wp:extent cx="6390005" cy="3790950"/>
            <wp:effectExtent l="0" t="0" r="0" b="0"/>
            <wp:docPr id="8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79095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ind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8 Печатная форма МД «Отражение факта выставления прививки»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В результате, в «Иммунопрофилактике» пациента, напротив прививки «Профилактика гриппа», вакцинация 6, появилась фактическая дата и данные о прививке построчно (рис. 9). Пересчет последующих плановых прививок произошел корректно.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sz w:val="24"/>
        </w:rPr>
      </w:pPr>
      <w:r>
        <w:rPr/>
        <w:drawing>
          <wp:inline distT="0" distB="0" distL="0" distR="0">
            <wp:extent cx="6390005" cy="2543175"/>
            <wp:effectExtent l="0" t="0" r="0" b="0"/>
            <wp:docPr id="9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543175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ind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9  «Иммунопрофилактика пациента»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b/>
          <w:sz w:val="24"/>
        </w:rPr>
      </w:pPr>
      <w:r>
        <w:rPr>
          <w:b/>
          <w:sz w:val="24"/>
        </w:rPr>
        <w:t>Пересчет дат плановых прививок при медотводе от прививки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Пересчет дат плановых прививок рассмотрим на примере пациента старше 18 лет и медотвода для прививки «Профилактика гриппа» с периодом 27.11.2025г-07.12.2027г.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Через «Контроль исполнения» переходим в «АРМ Врача Поликлиника» - «Поиск пациента» добавляем пациента старше 18 лет и переходим в «Иммунопрофилактику пациента» (рис. 10).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b/>
          <w:sz w:val="24"/>
        </w:rPr>
      </w:pPr>
      <w:r>
        <w:rPr/>
        <w:drawing>
          <wp:inline distT="0" distB="0" distL="0" distR="0">
            <wp:extent cx="6386830" cy="3933825"/>
            <wp:effectExtent l="0" t="0" r="0" b="0"/>
            <wp:docPr id="10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830" cy="3933825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ind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10  «Иммунопрофилактика пациента»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В поле «Медотвод» добавляем медотвод и заполняем обязательные поля. В результате плановая дата, которая попадает в период медотвода, становится желтым (рис. 11).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b/>
          <w:sz w:val="24"/>
        </w:rPr>
      </w:pPr>
      <w:r>
        <w:rPr/>
        <w:drawing>
          <wp:inline distT="0" distB="0" distL="0" distR="0">
            <wp:extent cx="6391275" cy="3857625"/>
            <wp:effectExtent l="0" t="0" r="0" b="0"/>
            <wp:docPr id="11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857625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ind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11  «Иммунопрофилактика пациента» прививки, которые попали под медотвод стали желтыми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После, нажимаем «Пересчитать плановые даты» и «Записать». Плановые даты изменились. Пересчет произошел корректно с учетом периода медотвода и последующих плановых прививок (рис. 12).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b/>
          <w:sz w:val="24"/>
        </w:rPr>
      </w:pPr>
      <w:r>
        <w:rPr/>
        <w:drawing>
          <wp:inline distT="0" distB="0" distL="0" distR="0">
            <wp:extent cx="6389370" cy="3676650"/>
            <wp:effectExtent l="0" t="0" r="0" b="0"/>
            <wp:docPr id="12" name="Рисунок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2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367665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ind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12  «Иммунопрофилактика пациента» все последующие прививки пересчитались с учетом медотвода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b/>
          <w:sz w:val="24"/>
        </w:rPr>
      </w:pPr>
      <w:r>
        <w:rPr>
          <w:b/>
          <w:sz w:val="24"/>
        </w:rPr>
        <w:t>Пересчет дат плановых прививок при отказе от прививки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Пересчет дат плановых прививок рассмотрим на примере пациента старше 18 лет и отказа от прививки «Профилактика гриппа» с периодом 27.11.2025г-31.12.2027г.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Через «Контроль исполнения» переходим в «АРМ Врача Поликлиника» - «Поиск пациента» добавляем пациента старше 18 лет и переходим в «Иммунопрофилактику пациента» (рис. 13).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sz w:val="24"/>
        </w:rPr>
      </w:pPr>
      <w:r>
        <w:rPr/>
        <w:drawing>
          <wp:inline distT="0" distB="0" distL="0" distR="0">
            <wp:extent cx="6386830" cy="3438525"/>
            <wp:effectExtent l="0" t="0" r="0" b="0"/>
            <wp:docPr id="13" name="Рисунок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6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830" cy="3438525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ind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13  «Иммунопрофилактика пациента»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В поле «Отказ» добавляем отказ и заполняем обязательные поля. В результате плановая дата, которая попадает в период отказа, вычеркивается (рис. 14).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sz w:val="24"/>
        </w:rPr>
      </w:pPr>
      <w:r>
        <w:rPr/>
        <w:drawing>
          <wp:inline distT="0" distB="0" distL="0" distR="0">
            <wp:extent cx="6391275" cy="3238500"/>
            <wp:effectExtent l="0" t="0" r="0" b="0"/>
            <wp:docPr id="14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23850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ind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14  «Иммунопрофилактика пациента» прививки, которые попали под отказ, вычеркиваются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После, нажимаем «Пересчитать плановые даты» и «Записать». Плановые даты изменились. Пересчет произошел корректно с учетом периода отказа и последующих плановых прививок (рис. 15).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sz w:val="24"/>
        </w:rPr>
      </w:pPr>
      <w:r>
        <w:rPr/>
        <w:drawing>
          <wp:inline distT="0" distB="0" distL="0" distR="0">
            <wp:extent cx="6390005" cy="5264150"/>
            <wp:effectExtent l="0" t="0" r="0" b="0"/>
            <wp:docPr id="15" name="Рисунок 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28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526415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ind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15  «Иммунопрофилактика пациента» все последующие прививки пересчитались с учетом отказа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sz w:val="24"/>
        </w:rPr>
      </w:pPr>
      <w:r>
        <w:rPr>
          <w:sz w:val="24"/>
        </w:rPr>
      </w:r>
    </w:p>
    <w:sectPr>
      <w:footerReference w:type="default" r:id="rId17"/>
      <w:type w:val="nextPage"/>
      <w:pgSz w:w="11906" w:h="16838"/>
      <w:pgMar w:left="992" w:right="851" w:gutter="0" w:header="0" w:top="709" w:footer="709" w:bottom="766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PT San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Wingdings">
    <w:charset w:val="02"/>
    <w:family w:val="auto"/>
    <w:pitch w:val="variable"/>
  </w:font>
  <w:font w:name="PT San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98115942"/>
    </w:sdtPr>
    <w:sdtContent>
      <w:p>
        <w:pPr>
          <w:pStyle w:val="Footer"/>
          <w:jc w:val="right"/>
          <w:rPr>
            <w:rFonts w:ascii="Times New Roman" w:hAnsi="Times New Roman" w:cs="Times New Roman"/>
            <w:sz w:val="28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 xml:space="preserve"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10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788" w:hanging="708"/>
      </w:pPr>
      <w:rPr>
        <w:rFonts w:ascii="PT Sans" w:hAnsi="PT Sans" w:cs="PT Sans" w:hint="default"/>
        <w:rFonts w:cstheme="minorBidi" w:eastAsiaTheme="minorEastAs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1cc0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ru-RU" w:val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ca619f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link w:val="2"/>
    <w:uiPriority w:val="9"/>
    <w:qFormat/>
    <w:rsid w:val="00af675e"/>
    <w:pPr>
      <w:keepNext w:val="true"/>
      <w:widowControl w:val="false"/>
      <w:numPr>
        <w:ilvl w:val="1"/>
        <w:numId w:val="2"/>
      </w:numPr>
      <w:suppressAutoHyphens w:val="true"/>
      <w:spacing w:lineRule="auto" w:line="240" w:before="240" w:after="60"/>
      <w:outlineLvl w:val="1"/>
    </w:pPr>
    <w:rPr>
      <w:rFonts w:ascii="Calibri" w:hAnsi="Calibri" w:eastAsia="MS Gothic;ＭＳ ゴシック" w:cs="Calibri"/>
      <w:b/>
      <w:bCs/>
      <w:i/>
      <w:iCs/>
      <w:sz w:val="28"/>
      <w:szCs w:val="28"/>
      <w:lang w:eastAsia="zh-CN" w:bidi="hi-IN"/>
    </w:rPr>
  </w:style>
  <w:style w:type="paragraph" w:styleId="Heading3">
    <w:name w:val="Heading 3"/>
    <w:basedOn w:val="Normal"/>
    <w:link w:val="3"/>
    <w:uiPriority w:val="9"/>
    <w:qFormat/>
    <w:rsid w:val="00af675e"/>
    <w:pPr>
      <w:keepNext w:val="true"/>
      <w:widowControl w:val="false"/>
      <w:numPr>
        <w:ilvl w:val="2"/>
        <w:numId w:val="2"/>
      </w:numPr>
      <w:suppressAutoHyphens w:val="true"/>
      <w:spacing w:lineRule="auto" w:line="240" w:before="140" w:after="120"/>
      <w:outlineLvl w:val="2"/>
    </w:pPr>
    <w:rPr>
      <w:rFonts w:ascii="Liberation Sans" w:hAnsi="Liberation Sans" w:eastAsia="Microsoft YaHei" w:cs="Mangal"/>
      <w:b/>
      <w:bCs/>
      <w:sz w:val="28"/>
      <w:szCs w:val="28"/>
      <w:lang w:eastAsia="zh-CN" w:bidi="hi-IN"/>
    </w:rPr>
  </w:style>
  <w:style w:type="paragraph" w:styleId="Heading7">
    <w:name w:val="Heading 7"/>
    <w:basedOn w:val="Normal"/>
    <w:link w:val="7"/>
    <w:qFormat/>
    <w:rsid w:val="00af675e"/>
    <w:pPr>
      <w:keepNext w:val="true"/>
      <w:widowControl w:val="false"/>
      <w:numPr>
        <w:ilvl w:val="6"/>
        <w:numId w:val="2"/>
      </w:numPr>
      <w:suppressAutoHyphens w:val="true"/>
      <w:snapToGrid w:val="false"/>
      <w:spacing w:lineRule="auto" w:line="288" w:before="240" w:after="60"/>
      <w:ind w:firstLine="720" w:left="-720" w:right="170"/>
      <w:jc w:val="both"/>
      <w:outlineLvl w:val="6"/>
    </w:pPr>
    <w:rPr>
      <w:rFonts w:ascii="Liberation Serif" w:hAnsi="Liberation Serif" w:eastAsia="SimSun" w:cs="Mangal"/>
      <w:color w:val="000000"/>
      <w:sz w:val="24"/>
      <w:szCs w:val="24"/>
      <w:lang w:eastAsia="zh-CN" w:bidi="hi-IN"/>
    </w:rPr>
  </w:style>
  <w:style w:type="paragraph" w:styleId="Heading8">
    <w:name w:val="Heading 8"/>
    <w:basedOn w:val="Normal"/>
    <w:link w:val="8"/>
    <w:qFormat/>
    <w:rsid w:val="00af675e"/>
    <w:pPr>
      <w:keepNext w:val="true"/>
      <w:widowControl w:val="false"/>
      <w:numPr>
        <w:ilvl w:val="7"/>
        <w:numId w:val="2"/>
      </w:numPr>
      <w:suppressAutoHyphens w:val="true"/>
      <w:spacing w:lineRule="auto" w:line="288" w:before="240" w:after="60"/>
      <w:ind w:firstLine="720" w:left="-720" w:right="170"/>
      <w:jc w:val="both"/>
      <w:outlineLvl w:val="7"/>
    </w:pPr>
    <w:rPr>
      <w:rFonts w:ascii="Liberation Serif" w:hAnsi="Liberation Serif" w:eastAsia="SimSun" w:cs="Mangal"/>
      <w:i/>
      <w:iCs/>
      <w:color w:val="000000"/>
      <w:sz w:val="24"/>
      <w:szCs w:val="24"/>
      <w:lang w:eastAsia="zh-CN" w:bidi="hi-IN"/>
    </w:rPr>
  </w:style>
  <w:style w:type="paragraph" w:styleId="Heading9">
    <w:name w:val="Heading 9"/>
    <w:basedOn w:val="Normal"/>
    <w:link w:val="9"/>
    <w:qFormat/>
    <w:rsid w:val="00af675e"/>
    <w:pPr>
      <w:widowControl w:val="false"/>
      <w:numPr>
        <w:ilvl w:val="8"/>
        <w:numId w:val="2"/>
      </w:numPr>
      <w:suppressAutoHyphens w:val="true"/>
      <w:spacing w:lineRule="auto" w:line="240" w:before="240" w:after="60"/>
      <w:outlineLvl w:val="8"/>
    </w:pPr>
    <w:rPr>
      <w:rFonts w:eastAsia="SimSun"/>
      <w:i/>
      <w:sz w:val="18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5a1cc0"/>
    <w:rPr>
      <w:rFonts w:ascii="Tahoma" w:hAnsi="Tahoma" w:eastAsia="Arial" w:cs="Tahoma"/>
      <w:sz w:val="16"/>
      <w:szCs w:val="16"/>
      <w:lang w:eastAsia="ru-RU"/>
    </w:rPr>
  </w:style>
  <w:style w:type="character" w:styleId="Style9" w:customStyle="1">
    <w:name w:val="Заголовок таблицы Знак"/>
    <w:link w:val="Style21"/>
    <w:qFormat/>
    <w:rsid w:val="000b5b68"/>
    <w:rPr>
      <w:rFonts w:ascii="Tahoma" w:hAnsi="Tahoma" w:eastAsia="Times New Roman" w:cs="Tahoma"/>
      <w:b/>
      <w:smallCaps/>
      <w:color w:val="003366"/>
      <w:sz w:val="20"/>
      <w:szCs w:val="20"/>
    </w:rPr>
  </w:style>
  <w:style w:type="character" w:styleId="Style10" w:customStyle="1">
    <w:name w:val="Список ЛАВР Знак"/>
    <w:basedOn w:val="DefaultParagraphFont"/>
    <w:link w:val="Style22"/>
    <w:qFormat/>
    <w:rsid w:val="000b5b68"/>
    <w:rPr>
      <w:rFonts w:ascii="PT Sans" w:hAnsi="PT Sans" w:eastAsia="Times New Roman" w:cs="Times New Roman"/>
      <w:sz w:val="21"/>
      <w:szCs w:val="21"/>
      <w:lang w:val="en-US"/>
    </w:rPr>
  </w:style>
  <w:style w:type="character" w:styleId="Style11" w:customStyle="1">
    <w:name w:val="Абзац списка Знак"/>
    <w:link w:val="ListParagraph"/>
    <w:uiPriority w:val="34"/>
    <w:qFormat/>
    <w:locked/>
    <w:rsid w:val="000b5b68"/>
    <w:rPr>
      <w:rFonts w:ascii="Arial" w:hAnsi="Arial" w:eastAsia="Arial" w:cs="Arial"/>
      <w:lang w:eastAsia="ru-RU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923678"/>
    <w:rPr>
      <w:rFonts w:ascii="Arial" w:hAnsi="Arial" w:eastAsia="Arial" w:cs="Arial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923678"/>
    <w:rPr>
      <w:rFonts w:ascii="Arial" w:hAnsi="Arial" w:eastAsia="Arial" w:cs="Arial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sid w:val="00ca619f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character" w:styleId="Style14" w:customStyle="1">
    <w:name w:val="Основной текст с отступом Знак"/>
    <w:basedOn w:val="DefaultParagraphFont"/>
    <w:uiPriority w:val="99"/>
    <w:qFormat/>
    <w:rsid w:val="00ab7d65"/>
    <w:rPr>
      <w:rFonts w:ascii="Times New Roman" w:hAnsi="Times New Roman" w:eastAsia="Times New Roman" w:cs="Times New Roman"/>
      <w:b/>
      <w:sz w:val="32"/>
      <w:szCs w:val="32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72c89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472c89"/>
    <w:rPr>
      <w:rFonts w:ascii="Arial" w:hAnsi="Arial" w:eastAsia="Arial" w:cs="Arial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472c89"/>
    <w:rPr>
      <w:rFonts w:ascii="Arial" w:hAnsi="Arial" w:eastAsia="Arial" w:cs="Arial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f71b18"/>
    <w:rPr>
      <w:color w:themeColor="hyperlink" w:val="0000FF"/>
      <w:u w:val="single"/>
    </w:rPr>
  </w:style>
  <w:style w:type="character" w:styleId="2" w:customStyle="1">
    <w:name w:val="Заголовок 2 Знак"/>
    <w:basedOn w:val="DefaultParagraphFont"/>
    <w:uiPriority w:val="9"/>
    <w:qFormat/>
    <w:rsid w:val="00af675e"/>
    <w:rPr>
      <w:rFonts w:ascii="Calibri" w:hAnsi="Calibri" w:eastAsia="MS Gothic;ＭＳ ゴシック" w:cs="Calibri"/>
      <w:b/>
      <w:bCs/>
      <w:i/>
      <w:iCs/>
      <w:sz w:val="28"/>
      <w:szCs w:val="28"/>
      <w:lang w:eastAsia="zh-CN" w:bidi="hi-IN"/>
    </w:rPr>
  </w:style>
  <w:style w:type="character" w:styleId="3" w:customStyle="1">
    <w:name w:val="Заголовок 3 Знак"/>
    <w:basedOn w:val="DefaultParagraphFont"/>
    <w:uiPriority w:val="9"/>
    <w:qFormat/>
    <w:rsid w:val="00af675e"/>
    <w:rPr>
      <w:rFonts w:ascii="Liberation Sans" w:hAnsi="Liberation Sans" w:eastAsia="Microsoft YaHei" w:cs="Mangal"/>
      <w:b/>
      <w:bCs/>
      <w:sz w:val="28"/>
      <w:szCs w:val="28"/>
      <w:lang w:eastAsia="zh-CN" w:bidi="hi-IN"/>
    </w:rPr>
  </w:style>
  <w:style w:type="character" w:styleId="7" w:customStyle="1">
    <w:name w:val="Заголовок 7 Знак"/>
    <w:basedOn w:val="DefaultParagraphFont"/>
    <w:qFormat/>
    <w:rsid w:val="00af675e"/>
    <w:rPr>
      <w:rFonts w:ascii="Liberation Serif" w:hAnsi="Liberation Serif" w:eastAsia="SimSun" w:cs="Mangal"/>
      <w:color w:val="000000"/>
      <w:sz w:val="24"/>
      <w:szCs w:val="24"/>
      <w:lang w:eastAsia="zh-CN" w:bidi="hi-IN"/>
    </w:rPr>
  </w:style>
  <w:style w:type="character" w:styleId="8" w:customStyle="1">
    <w:name w:val="Заголовок 8 Знак"/>
    <w:basedOn w:val="DefaultParagraphFont"/>
    <w:qFormat/>
    <w:rsid w:val="00af675e"/>
    <w:rPr>
      <w:rFonts w:ascii="Liberation Serif" w:hAnsi="Liberation Serif" w:eastAsia="SimSun" w:cs="Mangal"/>
      <w:i/>
      <w:iCs/>
      <w:color w:val="000000"/>
      <w:sz w:val="24"/>
      <w:szCs w:val="24"/>
      <w:lang w:eastAsia="zh-CN" w:bidi="hi-IN"/>
    </w:rPr>
  </w:style>
  <w:style w:type="character" w:styleId="9" w:customStyle="1">
    <w:name w:val="Заголовок 9 Знак"/>
    <w:basedOn w:val="DefaultParagraphFont"/>
    <w:qFormat/>
    <w:rsid w:val="00af675e"/>
    <w:rPr>
      <w:rFonts w:ascii="Arial" w:hAnsi="Arial" w:eastAsia="SimSun" w:cs="Arial"/>
      <w:i/>
      <w:sz w:val="18"/>
      <w:szCs w:val="24"/>
      <w:lang w:eastAsia="zh-CN" w:bidi="hi-IN"/>
    </w:rPr>
  </w:style>
  <w:style w:type="character" w:styleId="Style17" w:customStyle="1">
    <w:name w:val="Текст документа Знак"/>
    <w:link w:val="Style24"/>
    <w:qFormat/>
    <w:rsid w:val="00ce1f30"/>
    <w:rPr>
      <w:rFonts w:ascii="Times New Roman" w:hAnsi="Times New Roman" w:eastAsia="Times New Roman" w:cs="Times New Roman"/>
      <w:sz w:val="28"/>
      <w:szCs w:val="24"/>
      <w:lang w:bidi="en-US"/>
    </w:rPr>
  </w:style>
  <w:style w:type="character" w:styleId="Emphasis">
    <w:name w:val="Emphasis"/>
    <w:basedOn w:val="DefaultParagraphFont"/>
    <w:uiPriority w:val="20"/>
    <w:qFormat/>
    <w:rsid w:val="005312b5"/>
    <w:rPr>
      <w:i/>
      <w:iCs/>
    </w:rPr>
  </w:style>
  <w:style w:type="character" w:styleId="11" w:customStyle="1">
    <w:name w:val="Обычный1 Знак"/>
    <w:link w:val="12"/>
    <w:qFormat/>
    <w:rsid w:val="00b836c0"/>
    <w:rPr>
      <w:rFonts w:ascii="Arial" w:hAnsi="Arial" w:eastAsia="Arial" w:cs="Arial"/>
      <w:lang w:eastAsia="ru-RU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5a1cc0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Style11"/>
    <w:uiPriority w:val="34"/>
    <w:qFormat/>
    <w:rsid w:val="005a1cc0"/>
    <w:pPr>
      <w:spacing w:before="0" w:after="0"/>
      <w:ind w:left="720"/>
      <w:contextualSpacing/>
    </w:pPr>
    <w:rPr/>
  </w:style>
  <w:style w:type="paragraph" w:styleId="Style20">
    <w:name w:val="Содержимое таблицы"/>
    <w:basedOn w:val="Normal"/>
    <w:qFormat/>
    <w:pPr/>
    <w:rPr/>
  </w:style>
  <w:style w:type="paragraph" w:styleId="Style21" w:customStyle="1">
    <w:name w:val="Заголовок таблицы"/>
    <w:basedOn w:val="Normal"/>
    <w:link w:val="Style9"/>
    <w:qFormat/>
    <w:rsid w:val="000b5b68"/>
    <w:pPr>
      <w:spacing w:lineRule="auto" w:line="240" w:before="60" w:after="60"/>
      <w:jc w:val="center"/>
    </w:pPr>
    <w:rPr>
      <w:rFonts w:ascii="Tahoma" w:hAnsi="Tahoma" w:eastAsia="Times New Roman" w:cs="Tahoma"/>
      <w:b/>
      <w:smallCaps/>
      <w:color w:val="003366"/>
      <w:sz w:val="20"/>
      <w:szCs w:val="20"/>
      <w:lang w:eastAsia="en-US"/>
    </w:rPr>
  </w:style>
  <w:style w:type="paragraph" w:styleId="Style22" w:customStyle="1">
    <w:name w:val="Список ЛАВР"/>
    <w:basedOn w:val="Normal"/>
    <w:link w:val="Style10"/>
    <w:qFormat/>
    <w:rsid w:val="000b5b68"/>
    <w:pPr>
      <w:keepNext w:val="true"/>
      <w:numPr>
        <w:ilvl w:val="0"/>
        <w:numId w:val="1"/>
      </w:numPr>
      <w:spacing w:lineRule="auto" w:line="240" w:before="160" w:after="160"/>
    </w:pPr>
    <w:rPr>
      <w:rFonts w:ascii="PT Sans" w:hAnsi="PT Sans" w:eastAsia="Times New Roman" w:cs="Times New Roman"/>
      <w:sz w:val="21"/>
      <w:szCs w:val="21"/>
      <w:lang w:val="en-US" w:eastAsia="en-US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rsid w:val="00923678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Footer">
    <w:name w:val="Footer"/>
    <w:basedOn w:val="Normal"/>
    <w:link w:val="Style13"/>
    <w:uiPriority w:val="99"/>
    <w:unhideWhenUsed/>
    <w:rsid w:val="00923678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BodyTextIndent">
    <w:name w:val="Body Text Indent"/>
    <w:basedOn w:val="Normal"/>
    <w:link w:val="Style14"/>
    <w:uiPriority w:val="99"/>
    <w:unhideWhenUsed/>
    <w:rsid w:val="00ab7d65"/>
    <w:pPr>
      <w:spacing w:lineRule="auto" w:line="240"/>
      <w:ind w:left="-280"/>
      <w:jc w:val="center"/>
    </w:pPr>
    <w:rPr>
      <w:rFonts w:ascii="Times New Roman" w:hAnsi="Times New Roman" w:eastAsia="Times New Roman" w:cs="Times New Roman"/>
      <w:b/>
      <w:sz w:val="32"/>
      <w:szCs w:val="32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472c8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472c89"/>
    <w:pPr/>
    <w:rPr>
      <w:b/>
      <w:bCs/>
    </w:rPr>
  </w:style>
  <w:style w:type="paragraph" w:styleId="12" w:customStyle="1">
    <w:name w:val="Обычный1"/>
    <w:link w:val="11"/>
    <w:qFormat/>
    <w:rsid w:val="009f2582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ru-RU" w:val="ru-RU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71b18"/>
    <w:pPr>
      <w:spacing w:before="0" w:after="100"/>
    </w:pPr>
    <w:rPr/>
  </w:style>
  <w:style w:type="paragraph" w:styleId="TOC2">
    <w:name w:val="TOC 2"/>
    <w:basedOn w:val="Normal"/>
    <w:next w:val="Normal"/>
    <w:autoRedefine/>
    <w:uiPriority w:val="39"/>
    <w:unhideWhenUsed/>
    <w:rsid w:val="00f71b18"/>
    <w:pPr>
      <w:spacing w:before="0" w:after="100"/>
      <w:ind w:left="220"/>
    </w:pPr>
    <w:rPr/>
  </w:style>
  <w:style w:type="paragraph" w:styleId="ConsPlusNonformat" w:customStyle="1">
    <w:name w:val="ConsPlusNonformat"/>
    <w:qFormat/>
    <w:rsid w:val="00af675e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4" w:customStyle="1">
    <w:name w:val="Текст документа"/>
    <w:basedOn w:val="Normal"/>
    <w:link w:val="Style17"/>
    <w:qFormat/>
    <w:rsid w:val="00ce1f30"/>
    <w:pPr>
      <w:suppressAutoHyphens w:val="true"/>
      <w:spacing w:lineRule="auto" w:line="360" w:before="120" w:after="120"/>
      <w:ind w:firstLine="709"/>
      <w:contextualSpacing/>
      <w:jc w:val="both"/>
    </w:pPr>
    <w:rPr>
      <w:rFonts w:ascii="Times New Roman" w:hAnsi="Times New Roman" w:eastAsia="Times New Roman" w:cs="Times New Roman"/>
      <w:sz w:val="28"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e76da1"/>
    <w:pPr>
      <w:tabs>
        <w:tab w:val="clear" w:pos="708"/>
        <w:tab w:val="right" w:pos="10053" w:leader="none"/>
      </w:tabs>
      <w:spacing w:before="0" w:after="100"/>
      <w:ind w:hanging="440" w:left="440"/>
    </w:pPr>
    <w:rPr/>
  </w:style>
  <w:style w:type="paragraph" w:styleId="NoSpacing">
    <w:name w:val="No Spacing"/>
    <w:uiPriority w:val="1"/>
    <w:qFormat/>
    <w:rsid w:val="00ab3355"/>
    <w:pPr>
      <w:widowControl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ru-RU" w:val="ru-RU" w:bidi="ar-SA"/>
    </w:rPr>
  </w:style>
  <w:style w:type="paragraph" w:styleId="Caption1">
    <w:name w:val="caption1"/>
    <w:basedOn w:val="Normal"/>
    <w:next w:val="Normal"/>
    <w:qFormat/>
    <w:rsid w:val="005312b5"/>
    <w:pPr>
      <w:spacing w:lineRule="auto" w:line="240"/>
      <w:jc w:val="both"/>
    </w:pPr>
    <w:rPr>
      <w:rFonts w:eastAsia="Times New Roman" w:cs="Times New Roman"/>
      <w:b/>
      <w:sz w:val="20"/>
      <w:szCs w:val="20"/>
    </w:rPr>
  </w:style>
  <w:style w:type="paragraph" w:styleId="A5c8b0e714da563fe90b98cef41456e9db9fe9049761426654245bb2dd862eecmsonormal" w:customStyle="1">
    <w:name w:val="a5c8b0e714da563fe90b98cef41456e9db9fe9049761426654245bb2dd862eecmsonormal"/>
    <w:basedOn w:val="Normal"/>
    <w:qFormat/>
    <w:rsid w:val="005312b5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ea465f"/>
    <w:pPr>
      <w:tabs>
        <w:tab w:val="clear" w:pos="708"/>
        <w:tab w:val="right" w:pos="10057" w:leader="none"/>
      </w:tabs>
      <w:spacing w:before="0" w:after="100"/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Стиль1"/>
    <w:uiPriority w:val="99"/>
    <w:qFormat/>
    <w:rsid w:val="002432c7"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0.png"/><Relationship Id="rId15" Type="http://schemas.openxmlformats.org/officeDocument/2006/relationships/image" Target="media/image13.png"/><Relationship Id="rId16" Type="http://schemas.openxmlformats.org/officeDocument/2006/relationships/image" Target="media/image14.png"/><Relationship Id="rId17" Type="http://schemas.openxmlformats.org/officeDocument/2006/relationships/footer" Target="footer1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69C94-4191-4F7F-AE16-DA0152FA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7759</TotalTime>
  <Application>LibreOffice/7.6.4.1$Windows_X86_64 LibreOffice_project/e19e193f88cd6c0525a17fb7a176ed8e6a3e2aa1</Application>
  <AppVersion>15.0000</AppVersion>
  <Pages>10</Pages>
  <Words>708</Words>
  <Characters>4847</Characters>
  <CharactersWithSpaces>5514</CharactersWithSpaces>
  <Paragraphs>64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2024-06-07T11:14:00Z</dcterms:created>
  <dc:creator>Вунш Оксана Сергеевна</dc:creator>
  <dc:description/>
  <dc:language>ru-RU</dc:language>
  <cp:lastModifiedBy>Мария  Степанова</cp:lastModifiedBy>
  <dcterms:modified xsi:type="dcterms:W3CDTF">2025-03-21T11:27:10Z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