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11.png" ContentType="image/png"/>
  <Override PartName="/word/media/image6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120"/>
        <w:ind w:left="-280" w:right="-280"/>
        <w:jc w:val="right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67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067"/>
      </w:tblGrid>
      <w:tr>
        <w:trPr>
          <w:trHeight w:val="1500" w:hRule="atLeast"/>
        </w:trPr>
        <w:tc>
          <w:tcPr>
            <w:tcW w:w="10067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Задача: Доработка механизма «Планирование профилактических прививок» и отчетов «Список организованного населения для планирования прививок», «Формирование списков детского населения (запланированные прививки)»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7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Toc98836830"/>
      <w:bookmarkStart w:id="1" w:name="_Toc98836830"/>
      <w:bookmarkEnd w:id="1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bookmarkStart w:id="2" w:name="_Toc98836831"/>
      <w:r>
        <w:rPr>
          <w:b/>
          <w:szCs w:val="28"/>
        </w:rPr>
        <w:t>Пользовательская инструкция</w:t>
      </w:r>
      <w:bookmarkEnd w:id="2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Форма обработки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В подсистеме «Иммунопрофилактика» выбираем «Планирование профилактических прививок» (рис. 1).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b/>
          <w:szCs w:val="28"/>
        </w:rPr>
      </w:pPr>
      <w:r>
        <w:rPr/>
        <w:drawing>
          <wp:inline distT="0" distB="0" distL="0" distR="0">
            <wp:extent cx="4657725" cy="308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861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 Открытие обработки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Открылась обработка «Планирование профилактических прививок», устанавливаем период, и необходимый отбор с учетом новых добавленных полей: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1.«Социальный статус» - в поле для выбора доступно только одно значение из справочника «Социальный статус»; элементы справочника нельзя изменить, удалить, поместить в архив или из него, а также удаленные или архивные элементы не доступны для выбора (рис. 2);</w:t>
      </w:r>
    </w:p>
    <w:p>
      <w:pPr>
        <w:pStyle w:val="Style24"/>
        <w:tabs>
          <w:tab w:val="clear" w:pos="708"/>
          <w:tab w:val="left" w:pos="284" w:leader="none"/>
        </w:tabs>
        <w:jc w:val="center"/>
        <w:rPr>
          <w:sz w:val="24"/>
        </w:rPr>
      </w:pPr>
      <w:r>
        <w:rPr/>
        <w:drawing>
          <wp:inline distT="0" distB="0" distL="0" distR="0">
            <wp:extent cx="4514850" cy="3781425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814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2 Выбор элемента из справочника «Социальные статусы»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2. «Прививка» - в поле для выбора доступно только одно значение из справочника «Номенклатура» конкретно из папки «Профилактические прививки»; элементы справочника нельзя изменить, удалить, поместить в архив или из него, а также удаленные или архивные элементы не доступны для выбора (рис. 3);</w:t>
      </w:r>
    </w:p>
    <w:p>
      <w:pPr>
        <w:pStyle w:val="Style24"/>
        <w:tabs>
          <w:tab w:val="clear" w:pos="708"/>
          <w:tab w:val="left" w:pos="284" w:leader="none"/>
        </w:tabs>
        <w:jc w:val="center"/>
        <w:rPr>
          <w:sz w:val="24"/>
        </w:rPr>
      </w:pPr>
      <w:r>
        <w:rPr/>
        <w:drawing>
          <wp:inline distT="0" distB="0" distL="0" distR="0">
            <wp:extent cx="5743575" cy="3924300"/>
            <wp:effectExtent l="0" t="0" r="0" b="0"/>
            <wp:docPr id="3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243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3 Выбор прививки из справочника «Номенклатура»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3. «Медицинская организация по прикреплению»- в поле для выбора доступно несколько значений (имеется возможность дублирования, на результат выгрузки пациентов это не влияет) из справочника «Направившая организация». В списке для выбора будут только те элементы, которые соответствуют условиям: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- имеется запись реестрового номера ОМС;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left"/>
        <w:rPr>
          <w:sz w:val="24"/>
        </w:rPr>
      </w:pPr>
      <w:r>
        <w:rPr>
          <w:sz w:val="24"/>
        </w:rPr>
        <w:t>- имеется код OID MO (рис. 4).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3419475"/>
            <wp:effectExtent l="0" t="0" r="0" b="0"/>
            <wp:docPr id="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194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Рис.4 Выбор организации с учетом условий из справочника «Направившая организация»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 этого в обработке нажимаем «Заполнить». В результате, в табличной части сформировался список пациентов, которым присвоен выбранный «Медицинская организация по прикреплению», «Социальный статус» и «Прививка» (рис. 5).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left"/>
        <w:rPr>
          <w:sz w:val="24"/>
        </w:rPr>
      </w:pPr>
      <w:r>
        <w:rPr/>
        <w:drawing>
          <wp:inline distT="0" distB="0" distL="0" distR="0">
            <wp:extent cx="6390005" cy="2228850"/>
            <wp:effectExtent l="0" t="0" r="0" b="0"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288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5 Обработка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Отчет «Список организованного населения для планирования прививки»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«Иммунопрофилактика» выбираем «Отчетность» (рис. 6). После этого выбираем отчет (рис. 7).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b/>
          <w:sz w:val="24"/>
        </w:rPr>
      </w:pPr>
      <w:r>
        <w:rPr/>
        <w:drawing>
          <wp:inline distT="0" distB="0" distL="0" distR="0">
            <wp:extent cx="3705225" cy="1581150"/>
            <wp:effectExtent l="0" t="0" r="0" b="0"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811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6 Отчетность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/>
        <w:drawing>
          <wp:inline distT="0" distB="0" distL="0" distR="0">
            <wp:extent cx="5895975" cy="1447800"/>
            <wp:effectExtent l="0" t="0" r="0" b="0"/>
            <wp:docPr id="7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478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7 Выбор отчета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При выборе «Список организованного населения для планирования прививок» открывается отчет с доработанной табличной частью, а также в шапке отчета добавлено новое поле «Социальный статус» для отбора пациентов по социальному статусу (рис. 8).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2000250"/>
            <wp:effectExtent l="0" t="0" r="0" b="0"/>
            <wp:docPr id="8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002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8 Выбор элемента из справочника «Социальные статусы»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Выбираем социальный статус и нажимаем «Заполнить». В результате, в табличную часть отчета сформировался список пациентов, которым присвоен выбранный «Социальный статус» (рис. 9).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</w:rPr>
      </w:pPr>
      <w:r>
        <w:rPr/>
        <w:drawing>
          <wp:inline distT="0" distB="0" distL="0" distR="0">
            <wp:extent cx="6391275" cy="1543050"/>
            <wp:effectExtent l="0" t="0" r="0" b="0"/>
            <wp:docPr id="9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430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9 Отчет «Список организованного населения для планирования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Отчет «Формирование списков детского населения (запланированные прививки)» и «Формирование списков детского населения (запланированные, но просроченные прививки)»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«Иммунопрофилактика» выбираем «Отчетность» (рис. 6). После этого выбираем отчет (рис. 7).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При выборе «Формирование списков детского населения (запланированные прививки)» открывается отчет с доработанной табличной частью, а также в шапке отчета добавлено новое поле «Класс/группа» для отбора пациентов по классу или группе в образовательном учреждении (рис. 10).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2190750"/>
            <wp:effectExtent l="0" t="0" r="0" b="0"/>
            <wp:docPr id="10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1907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</w:rPr>
      </w:pPr>
      <w:r>
        <w:rPr>
          <w:i/>
          <w:sz w:val="20"/>
          <w:szCs w:val="20"/>
        </w:rPr>
        <w:t>Рис. 10 Выбор элемента из справочника «Классы образовательных учреждений»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Так как элементы справочника «Классы образовательных учреждений» привязаны к определенным образовательным учреждением, необходимо: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Выбрать образовательное учреждение в поле «Наименование образовательной организации»;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поле «Класс/группа» выбрать класс или группу для данного учреждения;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Нажать кнопку «Сформировать».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результате, в табличную часть отчета сформировался список пациентов, которым присвоен выбранный «Класс/группа» (рис. 11).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90005" cy="1734820"/>
            <wp:effectExtent l="0" t="0" r="0" b="0"/>
            <wp:docPr id="1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73482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11 Отчет «Формирование списков детского населения (запланированные прививки)»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Для открытия отчета «Формирование списков детского населения (запланированные, но просроченные прививки)» необходимо нажать «Выбрать вариант…» и выбрать вариант отчета «Запланированные, но просроченные прививки» (рис. 12).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</w:rPr>
      </w:pPr>
      <w:r>
        <w:rPr/>
        <w:drawing>
          <wp:inline distT="0" distB="0" distL="0" distR="0">
            <wp:extent cx="6390005" cy="3552825"/>
            <wp:effectExtent l="0" t="0" r="0" b="0"/>
            <wp:docPr id="12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528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12 Выбор варианта отчета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Доработки для отчета «Формирование списков детского населения (запланированные, но просроченные прививки)» аналогичны отчету «Формирование списков детского населения (запланированные прививки)»: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добавлено поле «Класс/группа»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выбор элементов из справочника «Классы образовательных учреждений» в поле «Класс/группа» доступен только на основании выбранного образовательного учреждения в поле «Наименование образовательной организации» (рис. 13).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</w:rPr>
      </w:pPr>
      <w:r>
        <w:rPr/>
        <w:drawing>
          <wp:inline distT="0" distB="0" distL="0" distR="0">
            <wp:extent cx="6390005" cy="1513205"/>
            <wp:effectExtent l="0" t="0" r="0" b="0"/>
            <wp:docPr id="13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1320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13 «Формирование списков детского населения (запланированные, но просроченные прививки)»</w:t>
      </w:r>
    </w:p>
    <w:sectPr>
      <w:footerReference w:type="default" r:id="rId15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8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1cc0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94B1-8C0F-4414-8668-C5F8DE7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LibreOffice/7.6.4.1$Windows_X86_64 LibreOffice_project/e19e193f88cd6c0525a17fb7a176ed8e6a3e2aa1</Application>
  <AppVersion>15.0000</AppVersion>
  <Pages>8</Pages>
  <Words>584</Words>
  <Characters>4247</Characters>
  <CharactersWithSpaces>4784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2024-12-04T11:28:00Z</dcterms:created>
  <dc:creator>Вунш Оксана Сергеевна</dc:creator>
  <dc:description/>
  <dc:language>ru-RU</dc:language>
  <cp:lastModifiedBy>Мария  Степанова</cp:lastModifiedBy>
  <dcterms:modified xsi:type="dcterms:W3CDTF">2025-03-21T11:22:20Z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